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rPr>
        <w:t>邢台希思腾橡塑制品有限公司单户债权</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rPr>
        <w:t xml:space="preserve"> HJS2021ZC</w:t>
      </w:r>
      <w:r>
        <w:rPr>
          <w:rFonts w:hint="eastAsia" w:asciiTheme="minorEastAsia" w:hAnsiTheme="minorEastAsia" w:eastAsiaTheme="minorEastAsia"/>
          <w:szCs w:val="21"/>
          <w:u w:val="single"/>
          <w:lang w:val="en-US" w:eastAsia="zh-CN"/>
        </w:rPr>
        <w:t>1811</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rPr>
        <w:t>受让申请并且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widowControl/>
        <w:tabs>
          <w:tab w:val="left" w:pos="6975"/>
        </w:tabs>
        <w:spacing w:line="360" w:lineRule="auto"/>
        <w:ind w:firstLine="420" w:firstLineChars="200"/>
        <w:jc w:val="left"/>
        <w:rPr>
          <w:rFonts w:hint="eastAsia" w:asciiTheme="minorEastAsia" w:hAnsiTheme="minorEastAsia"/>
          <w:szCs w:val="21"/>
        </w:rPr>
      </w:pPr>
      <w:r>
        <w:rPr>
          <w:rFonts w:hint="eastAsia" w:asciiTheme="minorEastAsia" w:hAnsiTheme="minorEastAsia"/>
          <w:szCs w:val="21"/>
        </w:rPr>
        <w:t>3、</w:t>
      </w:r>
      <w:r>
        <w:rPr>
          <w:rFonts w:hint="eastAsia" w:asciiTheme="minorEastAsia" w:hAnsiTheme="minorEastAsia"/>
          <w:szCs w:val="21"/>
          <w:lang w:val="en-US" w:eastAsia="zh-CN"/>
        </w:rPr>
        <w:t>我方已知悉</w:t>
      </w:r>
      <w:r>
        <w:rPr>
          <w:rFonts w:hint="eastAsia" w:asciiTheme="minorEastAsia" w:hAnsiTheme="minorEastAsia"/>
          <w:szCs w:val="21"/>
        </w:rPr>
        <w:t>债权本金、利息、费用、担保情况及诉讼情况详见债权清单。关于本债权的具体情况，需</w:t>
      </w:r>
      <w:r>
        <w:rPr>
          <w:rFonts w:hint="eastAsia" w:asciiTheme="minorEastAsia" w:hAnsiTheme="minorEastAsia"/>
          <w:szCs w:val="21"/>
          <w:lang w:val="en-US" w:eastAsia="zh-CN"/>
        </w:rPr>
        <w:t>我</w:t>
      </w:r>
      <w:r>
        <w:rPr>
          <w:rFonts w:hint="eastAsia" w:asciiTheme="minorEastAsia" w:hAnsiTheme="minorEastAsia"/>
          <w:szCs w:val="21"/>
        </w:rPr>
        <w:t>方自行尽调并进行价值判断，转让方及杭交所对未披露事宜不承担相关责任和风险。</w:t>
      </w:r>
    </w:p>
    <w:p>
      <w:pPr>
        <w:widowControl/>
        <w:tabs>
          <w:tab w:val="left" w:pos="6975"/>
        </w:tabs>
        <w:spacing w:line="360" w:lineRule="auto"/>
        <w:ind w:firstLine="420" w:firstLineChars="200"/>
        <w:jc w:val="left"/>
        <w:rPr>
          <w:rFonts w:hint="default" w:eastAsia="宋体" w:asciiTheme="minorEastAsia" w:hAnsiTheme="minorEastAsia"/>
          <w:szCs w:val="21"/>
          <w:lang w:val="en-US" w:eastAsia="zh-CN"/>
        </w:rPr>
      </w:pPr>
      <w:r>
        <w:rPr>
          <w:rFonts w:hint="eastAsia" w:asciiTheme="minorEastAsia" w:hAnsiTheme="minorEastAsia"/>
          <w:szCs w:val="21"/>
          <w:lang w:val="en-US" w:eastAsia="zh-CN"/>
        </w:rPr>
        <w:t>4、我方已知悉本案在诉讼过程中发现，未经抵押权人同意，抵押人私自将本案抵押物转让给了第三方，导致本债权最终可能存在无法清偿的风险。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我方</w:t>
      </w:r>
      <w:r>
        <w:rPr>
          <w:rFonts w:hint="eastAsia" w:asciiTheme="minorEastAsia" w:hAnsiTheme="minorEastAsia" w:eastAsiaTheme="minorEastAsia"/>
          <w:szCs w:val="21"/>
        </w:rPr>
        <w:t>同意在被确定为受让方次日起3个工作日内按照杭交所要求提供报名时上传的主体资格证明等相关文件原件完成确认和签署《成交通知书》、交易记录，并按照转让方要求3个工作日内完成确认和签署《债权转让合同》及相关合同文件。</w:t>
      </w:r>
    </w:p>
    <w:p>
      <w:pPr>
        <w:spacing w:line="360"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6、我方同意在《债权转让合同》签署次日起5个工作日内向杭交所指定账户一次性支付交易服务费、交易价款等交易资金（《其交纳的交易保证金依次冲抵交易服务费，多余部分（若有）转为履约保证金，待应支付的剩余款项全部到账后，履约保证金再转为交易价款的一部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7、我方</w:t>
      </w:r>
      <w:r>
        <w:rPr>
          <w:rFonts w:hint="eastAsia" w:asciiTheme="minorEastAsia" w:hAnsiTheme="minorEastAsia" w:eastAsiaTheme="minorEastAsia"/>
          <w:szCs w:val="21"/>
        </w:rPr>
        <w:t>同意对拟受让债权（包括所涉的诉讼、执行等情况）进行了充分的调查与了解，并对拟受让债权的保证情况均做了充分了解并知情，愿意按现状受让该债权，知悉并接受所有可能的瑕疵、风险。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8、我方</w:t>
      </w:r>
      <w:r>
        <w:rPr>
          <w:rFonts w:hint="eastAsia" w:asciiTheme="minorEastAsia" w:hAnsiTheme="minorEastAsia" w:eastAsiaTheme="minorEastAsia"/>
          <w:szCs w:val="21"/>
        </w:rPr>
        <w:t>同意</w:t>
      </w:r>
      <w:r>
        <w:rPr>
          <w:rFonts w:hint="eastAsia" w:asciiTheme="minorEastAsia" w:hAnsiTheme="minorEastAsia" w:eastAsiaTheme="minorEastAsia"/>
          <w:szCs w:val="21"/>
          <w:lang w:val="en-US" w:eastAsia="zh-CN"/>
        </w:rPr>
        <w:t>已</w:t>
      </w:r>
      <w:r>
        <w:rPr>
          <w:rFonts w:hint="eastAsia" w:asciiTheme="minorEastAsia" w:hAnsiTheme="minorEastAsia" w:eastAsiaTheme="minorEastAsia"/>
          <w:szCs w:val="21"/>
        </w:rPr>
        <w:t>对照本债权转让信息披露公告所列的受让方资格条件，已对自身的资格条件进行核查，符合本项目受让方的主体资格条件，且与债务企业无任何关联关系，决定申请受让本标的，并自行承担本项目受让不能的全部后果，包括费用、风险和损失等。</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9、我方</w:t>
      </w:r>
      <w:r>
        <w:rPr>
          <w:rFonts w:hint="eastAsia" w:asciiTheme="minorEastAsia" w:hAnsiTheme="minorEastAsia" w:eastAsiaTheme="minorEastAsia"/>
          <w:szCs w:val="21"/>
        </w:rPr>
        <w:t>同意杭交所在经转让方申请次日起3个工作日内将受让方已交纳的交易价款全部划转至转让方指定账户。</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10、 我方同意本项目受让方须交纳成交金额0.1 %的交易服务费。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11</w:t>
      </w:r>
      <w:bookmarkStart w:id="0" w:name="_GoBack"/>
      <w:bookmarkEnd w:id="0"/>
      <w:r>
        <w:rPr>
          <w:rFonts w:asciiTheme="minorEastAsia" w:hAnsiTheme="minorEastAsia" w:eastAsiaTheme="minorEastAsia"/>
          <w:szCs w:val="21"/>
        </w:rPr>
        <w:t>、若非转让方原因，出现以下任一情况时，意向受让方交纳的保证金不予退还，先用于补偿杭交所的服务费，剩余部分作为对转让方的经济补偿金，保证金不足以补偿的，相关方有权按照实际损失继续追诉：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意向受让方提交受让申请并交纳交易保证金后单方撤回受让申请的；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（2）产生符合条件</w:t>
      </w:r>
      <w:r>
        <w:rPr>
          <w:rFonts w:asciiTheme="minorEastAsia" w:hAnsiTheme="minorEastAsia" w:eastAsiaTheme="minorEastAsia"/>
          <w:szCs w:val="21"/>
        </w:rPr>
        <w:t>的意向受让方后，各意向受让方在竞价期间均不报价的；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eastAsiaTheme="minorEastAsia"/>
          <w:szCs w:val="21"/>
          <w:lang w:eastAsia="zh-CN"/>
        </w:rPr>
        <w:t>在被确定为受让方后未按约定签署</w:t>
      </w:r>
      <w:r>
        <w:rPr>
          <w:rFonts w:hint="eastAsia" w:asciiTheme="minorEastAsia" w:hAnsiTheme="minorEastAsia" w:eastAsiaTheme="minorEastAsia"/>
          <w:szCs w:val="21"/>
        </w:rPr>
        <w:t>《成交通知书》</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债权转让</w:t>
      </w:r>
      <w:r>
        <w:rPr>
          <w:rFonts w:hint="eastAsia" w:asciiTheme="minorEastAsia" w:hAnsiTheme="minorEastAsia" w:eastAsiaTheme="minorEastAsia"/>
          <w:szCs w:val="21"/>
          <w:lang w:eastAsia="zh-CN"/>
        </w:rPr>
        <w:t>合同》的或未按约定支付交易价款的</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意向受让方未履行书面承诺事项的；</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4EDD"/>
    <w:rsid w:val="00002743"/>
    <w:rsid w:val="000119B9"/>
    <w:rsid w:val="0003337E"/>
    <w:rsid w:val="000D2E12"/>
    <w:rsid w:val="000F4BB9"/>
    <w:rsid w:val="00143D8A"/>
    <w:rsid w:val="001471DC"/>
    <w:rsid w:val="001B6DAD"/>
    <w:rsid w:val="0020310B"/>
    <w:rsid w:val="002278BB"/>
    <w:rsid w:val="002524C5"/>
    <w:rsid w:val="002526A0"/>
    <w:rsid w:val="00255411"/>
    <w:rsid w:val="00274544"/>
    <w:rsid w:val="002C459B"/>
    <w:rsid w:val="003229C2"/>
    <w:rsid w:val="00347F74"/>
    <w:rsid w:val="003A2F6F"/>
    <w:rsid w:val="003B02F1"/>
    <w:rsid w:val="003D5E8E"/>
    <w:rsid w:val="003E079C"/>
    <w:rsid w:val="00413930"/>
    <w:rsid w:val="00430675"/>
    <w:rsid w:val="004B3532"/>
    <w:rsid w:val="004C246D"/>
    <w:rsid w:val="004D1B74"/>
    <w:rsid w:val="004E1479"/>
    <w:rsid w:val="004E3107"/>
    <w:rsid w:val="004F3BEF"/>
    <w:rsid w:val="00503879"/>
    <w:rsid w:val="00532E43"/>
    <w:rsid w:val="0055051A"/>
    <w:rsid w:val="005E452C"/>
    <w:rsid w:val="00627BE3"/>
    <w:rsid w:val="00662215"/>
    <w:rsid w:val="006F12F9"/>
    <w:rsid w:val="00737286"/>
    <w:rsid w:val="007847DD"/>
    <w:rsid w:val="00790D21"/>
    <w:rsid w:val="007E4EDD"/>
    <w:rsid w:val="00810B54"/>
    <w:rsid w:val="0084282E"/>
    <w:rsid w:val="00884F8A"/>
    <w:rsid w:val="008B6630"/>
    <w:rsid w:val="008D6F00"/>
    <w:rsid w:val="008D72E8"/>
    <w:rsid w:val="00906FAC"/>
    <w:rsid w:val="009264FF"/>
    <w:rsid w:val="009343C9"/>
    <w:rsid w:val="00934A3A"/>
    <w:rsid w:val="00936428"/>
    <w:rsid w:val="009568E9"/>
    <w:rsid w:val="0096235F"/>
    <w:rsid w:val="009702DB"/>
    <w:rsid w:val="009733B3"/>
    <w:rsid w:val="00985F46"/>
    <w:rsid w:val="00995BD3"/>
    <w:rsid w:val="009A0633"/>
    <w:rsid w:val="009A39B8"/>
    <w:rsid w:val="009A637C"/>
    <w:rsid w:val="009B1657"/>
    <w:rsid w:val="009F646A"/>
    <w:rsid w:val="00A0751C"/>
    <w:rsid w:val="00A11F15"/>
    <w:rsid w:val="00A24DD0"/>
    <w:rsid w:val="00A3579B"/>
    <w:rsid w:val="00A51B20"/>
    <w:rsid w:val="00A535FF"/>
    <w:rsid w:val="00A53E81"/>
    <w:rsid w:val="00A662FA"/>
    <w:rsid w:val="00A96775"/>
    <w:rsid w:val="00AA4243"/>
    <w:rsid w:val="00AF7180"/>
    <w:rsid w:val="00AF77C7"/>
    <w:rsid w:val="00B15A11"/>
    <w:rsid w:val="00B170BB"/>
    <w:rsid w:val="00B22D75"/>
    <w:rsid w:val="00B36433"/>
    <w:rsid w:val="00B50F83"/>
    <w:rsid w:val="00B902EB"/>
    <w:rsid w:val="00B91182"/>
    <w:rsid w:val="00B923AA"/>
    <w:rsid w:val="00BE797D"/>
    <w:rsid w:val="00BF6F97"/>
    <w:rsid w:val="00C02F3D"/>
    <w:rsid w:val="00C07B7D"/>
    <w:rsid w:val="00C2125E"/>
    <w:rsid w:val="00C300A5"/>
    <w:rsid w:val="00C726A1"/>
    <w:rsid w:val="00C80243"/>
    <w:rsid w:val="00C85BC7"/>
    <w:rsid w:val="00C90BE8"/>
    <w:rsid w:val="00CB5B8C"/>
    <w:rsid w:val="00D56D57"/>
    <w:rsid w:val="00DB119D"/>
    <w:rsid w:val="00DB69D2"/>
    <w:rsid w:val="00DD7C6E"/>
    <w:rsid w:val="00E00E55"/>
    <w:rsid w:val="00E05D91"/>
    <w:rsid w:val="00E252EE"/>
    <w:rsid w:val="00E414F8"/>
    <w:rsid w:val="00E45FDC"/>
    <w:rsid w:val="00E60BD5"/>
    <w:rsid w:val="00E65ED2"/>
    <w:rsid w:val="00EC2692"/>
    <w:rsid w:val="00ED081A"/>
    <w:rsid w:val="00ED4E9F"/>
    <w:rsid w:val="00ED5698"/>
    <w:rsid w:val="00EF62AF"/>
    <w:rsid w:val="00F06BEC"/>
    <w:rsid w:val="00F47654"/>
    <w:rsid w:val="00F94CD4"/>
    <w:rsid w:val="00FA0343"/>
    <w:rsid w:val="00FA6AB7"/>
    <w:rsid w:val="00FD542B"/>
    <w:rsid w:val="0DE7639F"/>
    <w:rsid w:val="1152096D"/>
    <w:rsid w:val="13D239C3"/>
    <w:rsid w:val="14F90FC3"/>
    <w:rsid w:val="16656F99"/>
    <w:rsid w:val="16E418A6"/>
    <w:rsid w:val="1D0621B7"/>
    <w:rsid w:val="1DFC2928"/>
    <w:rsid w:val="1F1C42F8"/>
    <w:rsid w:val="2B984EBD"/>
    <w:rsid w:val="2DFC2C39"/>
    <w:rsid w:val="2FA23275"/>
    <w:rsid w:val="31F070E9"/>
    <w:rsid w:val="35772735"/>
    <w:rsid w:val="35C90AA6"/>
    <w:rsid w:val="3BC83A62"/>
    <w:rsid w:val="3E034195"/>
    <w:rsid w:val="48D50828"/>
    <w:rsid w:val="4DF23F23"/>
    <w:rsid w:val="4E71626D"/>
    <w:rsid w:val="5980682C"/>
    <w:rsid w:val="61C34525"/>
    <w:rsid w:val="635577D8"/>
    <w:rsid w:val="65712EF0"/>
    <w:rsid w:val="6BA800D1"/>
    <w:rsid w:val="6BC42018"/>
    <w:rsid w:val="7FFE0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semiHidden/>
    <w:unhideWhenUsed/>
    <w:qFormat/>
    <w:uiPriority w:val="99"/>
    <w:pPr>
      <w:tabs>
        <w:tab w:val="center" w:pos="4153"/>
        <w:tab w:val="right" w:pos="8306"/>
      </w:tabs>
      <w:snapToGrid w:val="0"/>
      <w:jc w:val="left"/>
    </w:pPr>
    <w:rPr>
      <w:sz w:val="18"/>
      <w:szCs w:val="18"/>
    </w:rPr>
  </w:style>
  <w:style w:type="paragraph" w:styleId="3">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color w:val="606266"/>
      <w:bdr w:val="single" w:color="DCDFE6" w:sz="6" w:space="0"/>
      <w:shd w:val="clear" w:fill="FFFFFF"/>
    </w:rPr>
  </w:style>
  <w:style w:type="character" w:styleId="8">
    <w:name w:val="FollowedHyperlink"/>
    <w:basedOn w:val="6"/>
    <w:semiHidden/>
    <w:unhideWhenUsed/>
    <w:qFormat/>
    <w:uiPriority w:val="99"/>
    <w:rPr>
      <w:color w:val="57BBE9"/>
      <w:u w:val="none"/>
    </w:rPr>
  </w:style>
  <w:style w:type="character" w:styleId="9">
    <w:name w:val="HTML Definition"/>
    <w:basedOn w:val="6"/>
    <w:semiHidden/>
    <w:unhideWhenUsed/>
    <w:qFormat/>
    <w:uiPriority w:val="99"/>
    <w:rPr>
      <w:i/>
    </w:rPr>
  </w:style>
  <w:style w:type="character" w:styleId="10">
    <w:name w:val="Hyperlink"/>
    <w:basedOn w:val="6"/>
    <w:semiHidden/>
    <w:unhideWhenUsed/>
    <w:qFormat/>
    <w:uiPriority w:val="99"/>
    <w:rPr>
      <w:color w:val="57BBE9"/>
      <w:u w:val="none"/>
    </w:rPr>
  </w:style>
  <w:style w:type="character" w:styleId="11">
    <w:name w:val="HTML Code"/>
    <w:basedOn w:val="6"/>
    <w:semiHidden/>
    <w:unhideWhenUsed/>
    <w:qFormat/>
    <w:uiPriority w:val="99"/>
    <w:rPr>
      <w:rFonts w:hint="default" w:ascii="monospace" w:hAnsi="monospace" w:eastAsia="monospace" w:cs="monospace"/>
      <w:sz w:val="21"/>
      <w:szCs w:val="21"/>
    </w:rPr>
  </w:style>
  <w:style w:type="character" w:styleId="12">
    <w:name w:val="HTML Keyboard"/>
    <w:basedOn w:val="6"/>
    <w:semiHidden/>
    <w:unhideWhenUsed/>
    <w:qFormat/>
    <w:uiPriority w:val="99"/>
    <w:rPr>
      <w:rFonts w:hint="default" w:ascii="monospace" w:hAnsi="monospace" w:eastAsia="monospace" w:cs="monospace"/>
      <w:sz w:val="21"/>
      <w:szCs w:val="21"/>
    </w:rPr>
  </w:style>
  <w:style w:type="character" w:styleId="13">
    <w:name w:val="HTML Sample"/>
    <w:basedOn w:val="6"/>
    <w:semiHidden/>
    <w:unhideWhenUsed/>
    <w:uiPriority w:val="99"/>
    <w:rPr>
      <w:rFonts w:ascii="monospace" w:hAnsi="monospace" w:eastAsia="monospace" w:cs="monospace"/>
      <w:sz w:val="21"/>
      <w:szCs w:val="21"/>
    </w:rPr>
  </w:style>
  <w:style w:type="character" w:customStyle="1" w:styleId="14">
    <w:name w:val="页眉 Char"/>
    <w:basedOn w:val="6"/>
    <w:link w:val="3"/>
    <w:semiHidden/>
    <w:qFormat/>
    <w:uiPriority w:val="99"/>
    <w:rPr>
      <w:rFonts w:ascii="Times New Roman" w:hAnsi="Times New Roman" w:eastAsia="宋体" w:cs="Times New Roman"/>
      <w:sz w:val="18"/>
      <w:szCs w:val="18"/>
    </w:rPr>
  </w:style>
  <w:style w:type="character" w:customStyle="1" w:styleId="15">
    <w:name w:val="页脚 Char"/>
    <w:basedOn w:val="6"/>
    <w:link w:val="2"/>
    <w:semiHidden/>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 w:type="character" w:customStyle="1" w:styleId="17">
    <w:name w:val="not([class*=suffix])"/>
    <w:basedOn w:val="6"/>
    <w:qFormat/>
    <w:uiPriority w:val="0"/>
    <w:rPr>
      <w:sz w:val="19"/>
      <w:szCs w:val="19"/>
    </w:rPr>
  </w:style>
  <w:style w:type="character" w:customStyle="1" w:styleId="18">
    <w:name w:val="not([class*=suffix])1"/>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204</Words>
  <Characters>1163</Characters>
  <Lines>9</Lines>
  <Paragraphs>2</Paragraphs>
  <TotalTime>2</TotalTime>
  <ScaleCrop>false</ScaleCrop>
  <LinksUpToDate>false</LinksUpToDate>
  <CharactersWithSpaces>1365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CX</cp:lastModifiedBy>
  <dcterms:modified xsi:type="dcterms:W3CDTF">2021-12-02T02:19:50Z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23D65D02958E4ED9AFE08ACE253FE249</vt:lpwstr>
  </property>
</Properties>
</file>