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w:t>
      </w:r>
      <w:bookmarkStart w:id="0" w:name="_GoBack"/>
      <w:bookmarkEnd w:id="0"/>
      <w:r>
        <w:rPr>
          <w:rFonts w:hint="eastAsia" w:ascii="宋体" w:hAnsi="宋体"/>
          <w:b/>
          <w:sz w:val="22"/>
          <w:u w:val="single"/>
          <w:lang w:val="en-US" w:eastAsia="zh-CN"/>
        </w:rPr>
        <w:t>新区义蓬街道义蓬中路306-101、306-103号房屋5年租赁权</w:t>
      </w:r>
      <w:r>
        <w:rPr>
          <w:rFonts w:hint="eastAsia" w:ascii="宋体" w:hAnsi="宋体"/>
          <w:b/>
          <w:sz w:val="22"/>
          <w:u w:val="single"/>
        </w:rPr>
        <w:t>项目（标的编号：HJS2021ZL141</w:t>
      </w:r>
      <w:r>
        <w:rPr>
          <w:rFonts w:hint="eastAsia" w:ascii="宋体" w:hAnsi="宋体"/>
          <w:b/>
          <w:sz w:val="22"/>
          <w:u w:val="single"/>
          <w:lang w:val="en-US" w:eastAsia="zh-CN"/>
        </w:rPr>
        <w:t>8</w:t>
      </w:r>
      <w:r>
        <w:rPr>
          <w:rFonts w:hint="eastAsia" w:ascii="宋体" w:hAnsi="宋体"/>
          <w:b/>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名时上传的主体资格证明等相关文件原件至杭交所完成现场确认和签署《成交通知书》、交易记录及《房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2EFC3C59"/>
    <w:rsid w:val="38CB6299"/>
    <w:rsid w:val="39A8199F"/>
    <w:rsid w:val="3E944C68"/>
    <w:rsid w:val="409E2DBF"/>
    <w:rsid w:val="4B6C79F2"/>
    <w:rsid w:val="4D19643D"/>
    <w:rsid w:val="51620775"/>
    <w:rsid w:val="52010376"/>
    <w:rsid w:val="53332D2C"/>
    <w:rsid w:val="5B40427E"/>
    <w:rsid w:val="5E0444FD"/>
    <w:rsid w:val="62C611E6"/>
    <w:rsid w:val="64565C1A"/>
    <w:rsid w:val="728F0602"/>
    <w:rsid w:val="75235627"/>
    <w:rsid w:val="78232C38"/>
    <w:rsid w:val="7E13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2021-10-12T03:56:32Z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