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w:t>
      </w:r>
      <w:r>
        <w:rPr>
          <w:rFonts w:hint="eastAsia" w:asciiTheme="minorEastAsia" w:hAnsiTheme="minorEastAsia" w:eastAsiaTheme="minorEastAsia"/>
          <w:szCs w:val="21"/>
          <w:lang w:val="en-US" w:eastAsia="zh-CN"/>
        </w:rPr>
        <w:t>市朝晖九区65幢3单元301室</w:t>
      </w:r>
      <w:r>
        <w:rPr>
          <w:rFonts w:hint="eastAsia" w:asciiTheme="minorEastAsia" w:hAnsiTheme="minorEastAsia" w:eastAsiaTheme="minorEastAsia"/>
          <w:szCs w:val="21"/>
        </w:rPr>
        <w:t>住宅转让项目（标的编号：</w:t>
      </w:r>
      <w:r>
        <w:rPr>
          <w:rFonts w:hint="eastAsia" w:asciiTheme="minorEastAsia" w:hAnsiTheme="minorEastAsia" w:eastAsiaTheme="minorEastAsia"/>
          <w:szCs w:val="21"/>
          <w:u w:val="single"/>
          <w:lang w:val="en-US" w:eastAsia="zh-CN"/>
        </w:rPr>
        <w:t>HJS2021ZC0174</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numPr>
          <w:ilvl w:val="0"/>
          <w:numId w:val="1"/>
        </w:num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lang w:eastAsia="zh-CN"/>
        </w:rPr>
        <w:t>、</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hint="eastAsia" w:asciiTheme="minorEastAsia" w:hAnsiTheme="minorEastAsia" w:eastAsiaTheme="minorEastAsia"/>
          <w:szCs w:val="21"/>
          <w:u w:val="single"/>
          <w:lang w:val="en-US" w:eastAsia="zh-CN"/>
        </w:rPr>
        <w:t>和杭州产权交易所官网编号为【HJS2021ZC0174】的</w:t>
      </w:r>
      <w:r>
        <w:rPr>
          <w:rFonts w:hint="eastAsia" w:asciiTheme="minorEastAsia" w:hAnsiTheme="minorEastAsia" w:eastAsiaTheme="minorEastAsia"/>
          <w:szCs w:val="21"/>
          <w:u w:val="single"/>
        </w:rPr>
        <w:t>杭州</w:t>
      </w:r>
      <w:r>
        <w:rPr>
          <w:rFonts w:hint="eastAsia" w:asciiTheme="minorEastAsia" w:hAnsiTheme="minorEastAsia" w:eastAsiaTheme="minorEastAsia"/>
          <w:szCs w:val="21"/>
          <w:u w:val="single"/>
          <w:lang w:val="en-US" w:eastAsia="zh-CN"/>
        </w:rPr>
        <w:t>市朝晖九区65幢3单元301室</w:t>
      </w:r>
      <w:r>
        <w:rPr>
          <w:rFonts w:hint="eastAsia" w:asciiTheme="minorEastAsia" w:hAnsiTheme="minorEastAsia" w:eastAsiaTheme="minorEastAsia"/>
          <w:szCs w:val="21"/>
          <w:u w:val="single"/>
        </w:rPr>
        <w:t>住宅转让</w:t>
      </w:r>
      <w:r>
        <w:rPr>
          <w:rFonts w:hint="eastAsia" w:asciiTheme="minorEastAsia" w:hAnsiTheme="minorEastAsia" w:eastAsiaTheme="minorEastAsia"/>
          <w:szCs w:val="21"/>
          <w:u w:val="single"/>
          <w:lang w:val="en-US" w:eastAsia="zh-CN"/>
        </w:rPr>
        <w:t>项目信息披露内容</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u w:val="none"/>
        </w:rPr>
        <w:t>2、我方</w:t>
      </w:r>
      <w:r>
        <w:rPr>
          <w:rFonts w:hint="eastAsia" w:asciiTheme="minorEastAsia" w:hAnsiTheme="minorEastAsia"/>
          <w:szCs w:val="21"/>
          <w:u w:val="none"/>
        </w:rPr>
        <w:t>提交</w:t>
      </w:r>
      <w:r>
        <w:rPr>
          <w:rFonts w:hint="eastAsia" w:asciiTheme="minorEastAsia" w:hAnsiTheme="minorEastAsia"/>
          <w:szCs w:val="21"/>
          <w:u w:val="none"/>
          <w:lang w:eastAsia="zh-CN"/>
        </w:rPr>
        <w:t>受让</w:t>
      </w:r>
      <w:r>
        <w:rPr>
          <w:rFonts w:asciiTheme="minorEastAsia" w:hAnsiTheme="minorEastAsia"/>
          <w:szCs w:val="21"/>
          <w:u w:val="none"/>
        </w:rPr>
        <w:t>申请并且</w:t>
      </w:r>
      <w:r>
        <w:rPr>
          <w:rFonts w:hint="eastAsia" w:asciiTheme="minorEastAsia" w:hAnsiTheme="minorEastAsia"/>
          <w:szCs w:val="21"/>
          <w:u w:val="none"/>
        </w:rPr>
        <w:t>交纳交易</w:t>
      </w:r>
      <w:r>
        <w:rPr>
          <w:rFonts w:asciiTheme="minorEastAsia" w:hAnsiTheme="minorEastAsia"/>
          <w:szCs w:val="21"/>
          <w:u w:val="none"/>
        </w:rPr>
        <w:t>保证金后，即视为已详细阅读并完全认可本项目所披露内容以及已完成对标的的现场踏勘，表明已完全了解</w:t>
      </w:r>
      <w:r>
        <w:rPr>
          <w:rFonts w:hint="eastAsia" w:asciiTheme="minorEastAsia" w:hAnsiTheme="minorEastAsia"/>
          <w:szCs w:val="21"/>
          <w:u w:val="none"/>
        </w:rPr>
        <w:t>并</w:t>
      </w:r>
      <w:r>
        <w:rPr>
          <w:rFonts w:asciiTheme="minorEastAsia" w:hAnsiTheme="minorEastAsia"/>
          <w:szCs w:val="21"/>
          <w:u w:val="none"/>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意向受让方须自行了解其对转让标的受让事项是否符合中国现行法律法规及标的所在地相关政策、房屋权属变更机构的相关规定，须自行承担无法过户的风险。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意向受让方须书面承诺：</w:t>
      </w:r>
    </w:p>
    <w:p>
      <w:pPr>
        <w:numPr>
          <w:ilvl w:val="0"/>
          <w:numId w:val="0"/>
        </w:num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受让方在被确定为受让方次日起3个工作日内携带报名时上传的主体资格证明等相关文件原件至杭交所完成现场确认和签署《成交通知书》、《资产交易合同》。受让方须在《成交通知书》、《资产交易合同》签署次日起20个工作日内向杭交所资金监管账户一次性支付成交价款、交易服务费等交易资金（意向受让方被确定为受让方的，其交纳的交易保证金转为交易服务费，多余部分（若有）待《资产交易合同》签署之日转为履约保证金，待应支付的剩余款项全部到账后，履约保证金再转为成交价款的一部分）。通过“用户中心—未使用资金”对成交标的完成交易资金的确认付款操作。交易资金包括但不限于成交价款、交易服务费及其他相关费用。若受让方需要委托经纪会员方或经纪会员指定的第三方办理权证过户手续的，经纪会员或经纪会员指定的第三方可提供有偿的权证过户服务，同时受让方还应自《成交通知书》、《资产交易合同》签署次日起20个工作日内预付成交价2%款项作为办理权证过户手续的税、费（多退少补）。</w:t>
      </w:r>
    </w:p>
    <w:p>
      <w:pPr>
        <w:numPr>
          <w:ilvl w:val="0"/>
          <w:numId w:val="0"/>
        </w:num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对符合按揭政策的受让方申请用杭州银行延中支行商业贷款支付成交款项并获得银行核准的，须在《成交通知书》、《资产交易合同》签署之日起5个工作日内付清首付款（意向受让方被确定为受让方的，其交纳的交易保证金转为交易服务费，多余部分（若有）转为首付款，不足部分受让方按期补足）、交易服务费及预付成交价2%款项作为办理权证过户手续的税、费（多退少补），余款用银行贷款支付。若银行审核后不同意贷款的，受让方应自银行贷款审核不通过之日起15个工作日内一次性付清全部成交款（银行通知审核不通过当日，原交易保证金扣除交易服务费后转为首付款的金额自动转为履约保证金，履约保证金可冲抵最后一笔成交款）。</w:t>
      </w:r>
    </w:p>
    <w:p>
      <w:pPr>
        <w:numPr>
          <w:ilvl w:val="0"/>
          <w:numId w:val="0"/>
        </w:num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）同意杭交所在经转让方申请后将受让方已交纳的交易价款全部划转至转让方指定账户。</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我方知悉并同意：受让方应自行了解并完全符合国家及杭州市规定的购房条件，若因受让方原因造成所成交的房屋无法过户，所缴纳的购房款损失及其他经济损失均由受让方承担，与转让方、杭州企业产权交易中心有限公司无关，受让方已付的交易保证金不予返还。 在办理房产权证过户手续过程中所涉及买卖双方应缴纳的税、费，按国家有关规定由转让方与受让方各自承担。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eastAsia="zh-CN"/>
        </w:rPr>
        <w:t xml:space="preserve">）我方知悉并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  </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lang w:eastAsia="zh-CN"/>
        </w:rPr>
        <w:t xml:space="preserve">）我方知悉并同意：同意物业管理费从交接次月起由受让方承担。水、电可以重新开户的，相关手续及费用由受让方自行办理，但是否可以重新开户不在转让方合同义务范围内，具体按照交易标的情况和政府相关管理规定执行。 </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lang w:eastAsia="zh-CN"/>
        </w:rPr>
        <w:t>）我方知悉并同意：本次交易标的只限于权证核定的面积范围内。标的房屋如有漏水或需维修的情况，如有漏水或需维修的情况，均由受让方自理,转让方不承担任何费用和责任。</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lang w:eastAsia="zh-CN"/>
        </w:rPr>
        <w:t>）我方知悉并同意：如有户口未迁出的情况发生，转让方通知原户主把户口迁出，但有关学区房孩子能否就读的情况请受让方自行查证，对此转让方不做承诺。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（8）我方知悉并同意：本次交易标的，受让方需按房产所在小区物业管理规定交纳物业管理费。</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（9）我方知悉并同意：本次转让方与受让方的权利义务，最终以转让方提供的《资产交易合同》为准。</w:t>
      </w:r>
    </w:p>
    <w:p>
      <w:pPr>
        <w:spacing w:line="360" w:lineRule="auto"/>
        <w:ind w:firstLine="420" w:firstLineChars="200"/>
        <w:rPr>
          <w:rFonts w:hint="eastAsia" w:asciiTheme="minorEastAsia" w:hAnsiTheme="minorEastAsia" w:eastAsiaTheme="minorEastAsia"/>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10</w:t>
      </w:r>
      <w:bookmarkStart w:id="0" w:name="_GoBack"/>
      <w:bookmarkEnd w:id="0"/>
      <w:r>
        <w:rPr>
          <w:rFonts w:hint="eastAsia" w:ascii="宋体" w:hAnsi="宋体" w:cs="宋体"/>
          <w:sz w:val="21"/>
          <w:szCs w:val="21"/>
          <w:lang w:eastAsia="zh-CN"/>
        </w:rPr>
        <w:t>）</w:t>
      </w:r>
      <w:r>
        <w:rPr>
          <w:rFonts w:hint="eastAsia" w:ascii="宋体" w:hAnsi="宋体" w:eastAsia="宋体" w:cs="宋体"/>
          <w:sz w:val="21"/>
          <w:szCs w:val="21"/>
          <w:lang w:eastAsia="zh-CN"/>
        </w:rPr>
        <w:t>已</w:t>
      </w:r>
      <w:r>
        <w:rPr>
          <w:rFonts w:hint="eastAsia" w:ascii="宋体" w:hAnsi="宋体" w:eastAsia="宋体" w:cs="宋体"/>
          <w:sz w:val="21"/>
          <w:szCs w:val="21"/>
        </w:rPr>
        <w:t>知悉并同意：被确认为受让方后如果选择银行贷款支付交易价款的，同意由</w:t>
      </w:r>
      <w:r>
        <w:rPr>
          <w:rFonts w:hint="eastAsia" w:eastAsia="宋体" w:cs="宋体"/>
          <w:sz w:val="21"/>
          <w:szCs w:val="21"/>
          <w:lang w:val="en-US" w:eastAsia="zh-CN"/>
        </w:rPr>
        <w:t>杭交所</w:t>
      </w:r>
      <w:r>
        <w:rPr>
          <w:rFonts w:hint="eastAsia" w:ascii="宋体" w:hAnsi="宋体" w:eastAsia="宋体" w:cs="宋体"/>
          <w:sz w:val="21"/>
          <w:szCs w:val="21"/>
        </w:rPr>
        <w:t xml:space="preserve">对我方支付到产金所账户“个人中心-未使用资金”的首付款进行扣除。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、同意按成交金额的2.5%交纳交易服务费。</w:t>
      </w:r>
    </w:p>
    <w:p>
      <w:pPr>
        <w:spacing w:line="360" w:lineRule="auto"/>
        <w:ind w:firstLine="420" w:firstLineChars="200"/>
        <w:rPr>
          <w:rFonts w:asciiTheme="minorEastAsia" w:hAnsiTheme="minorEastAsia" w:eastAsiaTheme="minorEastAsia"/>
          <w:szCs w:val="21"/>
          <w:u w:val="none"/>
        </w:rPr>
      </w:pP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、若</w:t>
      </w:r>
      <w:r>
        <w:rPr>
          <w:rFonts w:asciiTheme="minorEastAsia" w:hAnsiTheme="minorEastAsia" w:eastAsiaTheme="minorEastAsia"/>
          <w:szCs w:val="21"/>
          <w:u w:val="none"/>
        </w:rPr>
        <w:t>非转让方原因，出现以下任一情况时，转让方有权扣除意向受让方交纳的交易保证金，先用于补偿</w:t>
      </w:r>
      <w:r>
        <w:rPr>
          <w:rFonts w:hint="eastAsia" w:asciiTheme="minorEastAsia" w:hAnsiTheme="minorEastAsia" w:eastAsiaTheme="minorEastAsia"/>
          <w:szCs w:val="21"/>
          <w:u w:val="none"/>
        </w:rPr>
        <w:t>杭交所</w:t>
      </w:r>
      <w:r>
        <w:rPr>
          <w:rFonts w:asciiTheme="minorEastAsia" w:hAnsiTheme="minorEastAsia" w:eastAsiaTheme="minorEastAsia"/>
          <w:szCs w:val="21"/>
          <w:u w:val="none"/>
        </w:rPr>
        <w:t>及经纪会员的各项服务费，剩余部分作为对转让方的经济补偿金，交易保证金不足以补偿的，相关方有权按照实际损失继续追诉：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（1）意向受让方提交承租申请并交纳交易保证金后单方撤回承租申请的；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2021</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C48D3"/>
    <w:multiLevelType w:val="singleLevel"/>
    <w:tmpl w:val="952C48D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CCA5698"/>
    <w:rsid w:val="1A4D26DA"/>
    <w:rsid w:val="25F8037F"/>
    <w:rsid w:val="26851B4D"/>
    <w:rsid w:val="2AE67843"/>
    <w:rsid w:val="30873003"/>
    <w:rsid w:val="30BD3CBE"/>
    <w:rsid w:val="381E3097"/>
    <w:rsid w:val="43113BC5"/>
    <w:rsid w:val="51B53AC1"/>
    <w:rsid w:val="5378762D"/>
    <w:rsid w:val="610339B9"/>
    <w:rsid w:val="67644605"/>
    <w:rsid w:val="6E07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6">
    <w:name w:val="Body Text First Indent 2"/>
    <w:basedOn w:val="2"/>
    <w:qFormat/>
    <w:uiPriority w:val="0"/>
    <w:pPr>
      <w:tabs>
        <w:tab w:val="left" w:pos="1400"/>
      </w:tabs>
      <w:ind w:firstLine="420" w:firstLineChars="200"/>
    </w:pPr>
  </w:style>
  <w:style w:type="character" w:customStyle="1" w:styleId="9">
    <w:name w:val="页眉 Char"/>
    <w:basedOn w:val="8"/>
    <w:link w:val="4"/>
    <w:semiHidden/>
    <w:uiPriority w:val="99"/>
    <w:rPr>
      <w:rFonts w:ascii="Times New Roman" w:hAnsi="Times New Roman" w:eastAsia="宋体" w:cs="Times New Roman"/>
      <w:sz w:val="18"/>
      <w:szCs w:val="18"/>
    </w:rPr>
  </w:style>
  <w:style w:type="character" w:customStyle="1" w:styleId="10">
    <w:name w:val="页脚 Char"/>
    <w:basedOn w:val="8"/>
    <w:link w:val="3"/>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2</TotalTime>
  <ScaleCrop>false</ScaleCrop>
  <LinksUpToDate>false</LinksUpToDate>
  <CharactersWithSpaces>1215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YWX</cp:lastModifiedBy>
  <cp:lastPrinted>2021-02-08T06:39:00Z</cp:lastPrinted>
  <dcterms:modified xsi:type="dcterms:W3CDTF">2021-03-01T03:04:24Z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