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 xml:space="preserve"> 菲拉格慕休闲皮鞋等皮鞋2双 </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1402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w:t>
      </w:r>
      <w:r>
        <w:rPr>
          <w:rFonts w:hint="eastAsia" w:asciiTheme="minorEastAsia" w:hAnsiTheme="minorEastAsia"/>
          <w:szCs w:val="21"/>
        </w:rPr>
        <w:t>提交</w:t>
      </w:r>
      <w:r>
        <w:rPr>
          <w:rFonts w:asciiTheme="minorEastAsia" w:hAnsiTheme="minorEastAsia"/>
          <w:szCs w:val="21"/>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成交款及交易服务费(意向受让方被确定为受让方的，其已付的交易保证金转为交易服务费，多余部分（若有）待《资产交易合同》签署之日转为履约保证金，待应支付的剩余款项全部到账后，履约保证金再转为成交价款的一部分）。</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bookmarkStart w:id="0" w:name="_GoBack"/>
      <w:bookmarkEnd w:id="0"/>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2C711FC7"/>
    <w:rsid w:val="3B56398E"/>
    <w:rsid w:val="5DA85DC3"/>
    <w:rsid w:val="65E42A7F"/>
    <w:rsid w:val="6A56335D"/>
    <w:rsid w:val="6C8A43A0"/>
    <w:rsid w:val="6E5536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4</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2020-11-26T09:36:49Z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