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杭州市下城区柳营巷1号房屋3年租赁权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1393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期租金、交易服务费和履约保证金等交易资金（意向承租方被确定承租方的，其缴纳的交易保证金转为交易服务费，多余部分（若有）依次冲抵履约保证金和相应的首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在租赁期内，租赁房屋因不可抗力、城市规划或市政建设需要拆除、改造致使租赁合同不能全部继续履行或造成出租方损失的，出租方和承租方双方互不承担责任、互不赔偿。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租赁期满，承租方除对自行安装的设备可拆除外，其余设施及装修均不得拆除和破坏，无偿归出租方所有。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在租赁期内，出租房屋不得整体或部分转租。如承租方擅自转租的，转租行为无效。出租方有权单方面解除合同收回房屋。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次租赁房屋原承租人尚未搬离。原承租人若未获得本交易标的的，须按要求按时腾空场地给出租方，若出租方未能及时清退原实际使用的，承租方应同意等待租赁房屋的清退，直至交付止，同时，不提出任何附加条件或修改已签订的《杭州市市直机关行政事业单位房屋租赁合同》。实际交付时，原实际使用搬离腾房时间延长时，出租方未能在已定起租时间交付房屋的，租赁期限以实际交付房屋之日算起，共3年，自动后延为租赁期整3年。（非原承租人适用）。</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11、本项目承租方须交纳交易服务费为成交总价（3年年租金之和）的4%。</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331B0FC3"/>
    <w:rsid w:val="43EF54EE"/>
    <w:rsid w:val="553E462D"/>
    <w:rsid w:val="55B2592C"/>
    <w:rsid w:val="5FFC2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14:textFill>
        <w14:solidFill>
          <w14:schemeClr w14:val="hlink"/>
        </w14:solidFill>
      </w14:textFill>
    </w:rPr>
  </w:style>
  <w:style w:type="character" w:customStyle="1" w:styleId="7">
    <w:name w:val="页眉 Char"/>
    <w:basedOn w:val="5"/>
    <w:link w:val="3"/>
    <w:semiHidden/>
    <w:uiPriority w:val="99"/>
    <w:rPr>
      <w:rFonts w:ascii="Times New Roman" w:hAnsi="Times New Roman" w:eastAsia="宋体" w:cs="Times New Roman"/>
      <w:sz w:val="18"/>
      <w:szCs w:val="18"/>
    </w:rPr>
  </w:style>
  <w:style w:type="character" w:customStyle="1" w:styleId="8">
    <w:name w:val="页脚 Char"/>
    <w:basedOn w:val="5"/>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33</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2020-11-26T02:30:33Z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