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杭州市江干区秋涛北路支二路3号(现为青玉路3号)房屋3年租赁权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HJS2020ZL138</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成交之日起3个工作日内携带报名时上传的主体资格证明等相关文件原件至杭交所完成现场确认和签署《成交通知书》、交易记录、《房屋租赁合同》等相关文件。承租方须在成交次日起5个工作日内向杭交所资金监管账户支付第一期租金、交易服务费、租赁保证金等交易资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4、同意承租方已付的交易保证金自动转为交易服务费，多余部分（若有）待《房屋租赁合同》签署之日依次冲抵租赁保证金和第一期租金</w:t>
      </w:r>
      <w:bookmarkStart w:id="0" w:name="_GoBack"/>
      <w:bookmarkEnd w:id="0"/>
      <w:r>
        <w:rPr>
          <w:rFonts w:hint="eastAsia" w:asciiTheme="minorEastAsia" w:hAnsiTheme="minorEastAsia" w:eastAsiaTheme="minorEastAsia"/>
          <w:szCs w:val="21"/>
          <w:lang w:val="en-US" w:eastAsia="zh-CN"/>
        </w:rPr>
        <w:t>，由杭交所按出租方要求的时间内将已收款项划转至出租方的指定账户。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本次租赁房屋的交接，在出租方与承租方之间进行。承租方付清第一期租金、租赁保证金、交易服务费后由出租方在起租日前将租赁房屋交付给承租方。如承租方逾期付款，出租方有权延期交付，租期不顺延。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承租方保证在该租赁房屋所规定的用途范围内，按国家规定和《房屋租赁合同》约定依法经营，自行负责办理相关手续和支付相关费用，且按相关规定依法办理开业的证照等审批手续，否则视承租方违约。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第一计租年度一个月租金计收。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、若非</w:t>
      </w:r>
      <w:r>
        <w:rPr>
          <w:rFonts w:hint="eastAsia" w:asciiTheme="minorEastAsia" w:hAnsiTheme="minorEastAsia" w:eastAsiaTheme="minorEastAsia"/>
          <w:szCs w:val="21"/>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出租方</w:t>
      </w:r>
      <w:r>
        <w:rPr>
          <w:rFonts w:asciiTheme="minorEastAsia" w:hAnsiTheme="minorEastAsia" w:eastAsiaTheme="minorEastAsia"/>
          <w:szCs w:val="21"/>
        </w:rPr>
        <w:t>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25626AE3"/>
    <w:rsid w:val="25C93E57"/>
    <w:rsid w:val="33911798"/>
    <w:rsid w:val="4B6931A0"/>
    <w:rsid w:val="62B42454"/>
    <w:rsid w:val="7B8D0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108</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2020-11-24T08:59:19Z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