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val="en-US"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一辆挖掘装载机</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 xml:space="preserve"> HJS2020ZC134</w:t>
      </w:r>
      <w:r>
        <w:rPr>
          <w:rFonts w:hint="eastAsia" w:asciiTheme="minorEastAsia" w:hAnsiTheme="minorEastAsia" w:eastAsiaTheme="minorEastAsia"/>
          <w:szCs w:val="21"/>
          <w:u w:val="single"/>
          <w:lang w:val="en-US" w:eastAsia="zh-CN"/>
        </w:rPr>
        <w:t>5</w:t>
      </w: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同意在被确定为受让方次日起3个工作日内携带报名时上传的主体资格证明等相关文件原件至杭交所现场确认并签署交易记录、成交通知书和《资产交易合同》；并在《资产交易合同》签署次日起</w:t>
      </w:r>
      <w:r>
        <w:rPr>
          <w:rFonts w:hint="eastAsia" w:asciiTheme="minorEastAsia" w:hAnsiTheme="minorEastAsia"/>
          <w:szCs w:val="21"/>
          <w:lang w:val="en-US" w:eastAsia="zh-CN"/>
        </w:rPr>
        <w:t>3</w:t>
      </w:r>
      <w:r>
        <w:rPr>
          <w:rFonts w:hint="eastAsia" w:asciiTheme="minorEastAsia" w:hAnsiTheme="minorEastAsia"/>
          <w:szCs w:val="21"/>
        </w:rPr>
        <w:t>个工作日内向杭交所指定账户一次性支付成交价款，交易服务费、履约保证金等交易资金（意向受让方被确定为受让方的，其交纳的交易保证金转为交易服务费，多余部分（若有）待《资产交易合同》签署之日依次冲抵履约保证金和成交价款）；</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 xml:space="preserve">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r>
        <w:rPr>
          <w:rFonts w:hint="eastAsia" w:asciiTheme="minorEastAsia" w:hAnsiTheme="minorEastAsia" w:eastAsiaTheme="minorEastAsia"/>
          <w:szCs w:val="21"/>
          <w:lang w:val="en-US" w:eastAsia="zh-CN"/>
        </w:rPr>
        <w:t>及40000</w:t>
      </w:r>
      <w:bookmarkStart w:id="0" w:name="_GoBack"/>
      <w:bookmarkEnd w:id="0"/>
      <w:r>
        <w:rPr>
          <w:rFonts w:hint="eastAsia" w:asciiTheme="minorEastAsia" w:hAnsiTheme="minorEastAsia" w:eastAsiaTheme="minorEastAsia"/>
          <w:szCs w:val="21"/>
          <w:lang w:val="en-US" w:eastAsia="zh-CN"/>
        </w:rPr>
        <w:t>元履约保证金</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112D6F2F"/>
    <w:rsid w:val="121B5DD8"/>
    <w:rsid w:val="3BA43BF2"/>
    <w:rsid w:val="426F70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16</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2020-11-12T03:26:29Z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