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eastAsia="新宋体"/>
          <w:b/>
          <w:bCs/>
          <w:sz w:val="26"/>
          <w:szCs w:val="26"/>
        </w:rPr>
      </w:pPr>
      <w:r>
        <w:rPr>
          <w:rFonts w:eastAsia="新宋体"/>
          <w:b/>
          <w:bCs/>
          <w:sz w:val="26"/>
          <w:szCs w:val="26"/>
        </w:rPr>
        <w:t>附件</w:t>
      </w:r>
      <w:r>
        <w:rPr>
          <w:rFonts w:hint="eastAsia" w:eastAsia="新宋体"/>
          <w:b/>
          <w:bCs/>
          <w:sz w:val="26"/>
          <w:szCs w:val="26"/>
          <w:lang w:val="en-US" w:eastAsia="zh-CN"/>
        </w:rPr>
        <w:t>4</w:t>
      </w:r>
      <w:r>
        <w:rPr>
          <w:rFonts w:eastAsia="新宋体"/>
          <w:b/>
          <w:bCs/>
          <w:sz w:val="26"/>
          <w:szCs w:val="26"/>
        </w:rPr>
        <w:t>：</w:t>
      </w:r>
    </w:p>
    <w:p>
      <w:pPr>
        <w:spacing w:line="480" w:lineRule="exact"/>
        <w:jc w:val="center"/>
        <w:rPr>
          <w:rFonts w:eastAsia="新宋体"/>
          <w:b/>
          <w:bCs/>
          <w:sz w:val="26"/>
          <w:szCs w:val="26"/>
        </w:rPr>
      </w:pPr>
      <w:r>
        <w:rPr>
          <w:rFonts w:eastAsia="新宋体"/>
          <w:b/>
          <w:bCs/>
          <w:sz w:val="26"/>
          <w:szCs w:val="26"/>
        </w:rPr>
        <w:t>房产清单</w:t>
      </w:r>
    </w:p>
    <w:tbl>
      <w:tblPr>
        <w:tblStyle w:val="4"/>
        <w:tblW w:w="836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851"/>
        <w:gridCol w:w="1276"/>
        <w:gridCol w:w="1417"/>
        <w:gridCol w:w="1134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b/>
              </w:rPr>
              <w:t>建筑物</w:t>
            </w:r>
          </w:p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b/>
              </w:rPr>
              <w:t>名称</w:t>
            </w:r>
          </w:p>
        </w:tc>
        <w:tc>
          <w:tcPr>
            <w:tcW w:w="1417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b/>
              </w:rPr>
              <w:t>不动产权证号</w:t>
            </w:r>
          </w:p>
        </w:tc>
        <w:tc>
          <w:tcPr>
            <w:tcW w:w="851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用途</w:t>
            </w:r>
          </w:p>
        </w:tc>
        <w:tc>
          <w:tcPr>
            <w:tcW w:w="1276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bookmarkStart w:id="0" w:name="_Hlk46687351"/>
            <w:r>
              <w:rPr>
                <w:b/>
              </w:rPr>
              <w:t>房屋建筑面积</w:t>
            </w:r>
            <w:bookmarkEnd w:id="0"/>
            <w:r>
              <w:rPr>
                <w:b/>
              </w:rPr>
              <w:t>（m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>）</w:t>
            </w:r>
          </w:p>
        </w:tc>
        <w:tc>
          <w:tcPr>
            <w:tcW w:w="1417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bookmarkStart w:id="1" w:name="_Hlk46687341"/>
            <w:r>
              <w:rPr>
                <w:b/>
              </w:rPr>
              <w:t>土地使用权面积</w:t>
            </w:r>
            <w:bookmarkEnd w:id="1"/>
            <w:r>
              <w:rPr>
                <w:b/>
              </w:rPr>
              <w:t>（m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>）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420" w:lineRule="exact"/>
              <w:jc w:val="center"/>
              <w:rPr>
                <w:b/>
              </w:rPr>
            </w:pPr>
            <w:r>
              <w:rPr>
                <w:b/>
              </w:rPr>
              <w:t>转让底价（</w:t>
            </w:r>
            <w:r>
              <w:rPr>
                <w:rFonts w:hint="eastAsia"/>
                <w:b/>
              </w:rPr>
              <w:t>万</w:t>
            </w:r>
            <w:r>
              <w:rPr>
                <w:b/>
              </w:rPr>
              <w:t>元）</w:t>
            </w:r>
          </w:p>
        </w:tc>
        <w:tc>
          <w:tcPr>
            <w:tcW w:w="850" w:type="dxa"/>
            <w:vAlign w:val="center"/>
          </w:tcPr>
          <w:p>
            <w:pPr>
              <w:spacing w:line="420" w:lineRule="exact"/>
              <w:jc w:val="center"/>
              <w:rPr>
                <w:b/>
              </w:rPr>
            </w:pPr>
            <w:r>
              <w:rPr>
                <w:b/>
              </w:rPr>
              <w:t>房屋状态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西湖区何家村工业区块2号5幢、西湖区何家村工业区块2号3幢等5套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浙（2020）不动产权第01806</w:t>
            </w:r>
            <w:bookmarkStart w:id="2" w:name="_GoBack"/>
            <w:bookmarkEnd w:id="2"/>
            <w:r>
              <w:rPr>
                <w:rFonts w:eastAsia="方正书宋简体"/>
                <w:color w:val="000000"/>
                <w:sz w:val="21"/>
                <w:szCs w:val="21"/>
              </w:rPr>
              <w:t>70号</w:t>
            </w: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工业用地/非住宅</w:t>
            </w: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2088.3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6927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5321.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00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空置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杭州市西湖区何家村工业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园区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6号1幢、杭州市西湖区何家村工业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园区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6号2幢等5套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浙（2020）不动产权第0198570号</w:t>
            </w: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工业用地/非住宅</w:t>
            </w: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2916.7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3504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2839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.00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空置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5005</w:t>
            </w:r>
          </w:p>
        </w:tc>
        <w:tc>
          <w:tcPr>
            <w:tcW w:w="1417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10431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hint="eastAsia" w:eastAsia="方正书宋简体"/>
                <w:color w:val="000000"/>
                <w:sz w:val="21"/>
                <w:szCs w:val="21"/>
              </w:rPr>
              <w:t>8160.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00</w:t>
            </w:r>
          </w:p>
        </w:tc>
        <w:tc>
          <w:tcPr>
            <w:tcW w:w="850" w:type="dxa"/>
            <w:vAlign w:val="center"/>
          </w:tcPr>
          <w:p>
            <w:pPr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418" w:type="dxa"/>
            <w:vAlign w:val="center"/>
          </w:tcPr>
          <w:p>
            <w:pPr>
              <w:widowControl w:val="0"/>
              <w:spacing w:line="240" w:lineRule="exact"/>
              <w:jc w:val="center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6945" w:type="dxa"/>
            <w:gridSpan w:val="6"/>
            <w:vAlign w:val="center"/>
          </w:tcPr>
          <w:p>
            <w:pPr>
              <w:widowControl w:val="0"/>
              <w:spacing w:line="240" w:lineRule="exact"/>
              <w:jc w:val="both"/>
              <w:rPr>
                <w:rFonts w:eastAsia="方正书宋简体"/>
                <w:color w:val="000000"/>
                <w:sz w:val="21"/>
                <w:szCs w:val="21"/>
              </w:rPr>
            </w:pPr>
            <w:r>
              <w:rPr>
                <w:rFonts w:eastAsia="方正书宋简体"/>
                <w:color w:val="000000"/>
                <w:sz w:val="21"/>
                <w:szCs w:val="21"/>
              </w:rPr>
              <w:t>不动产权证证载权利性质均为出让/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存量房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，证载用途均为工业用地/非住宅，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其中，西湖区何家村工业区块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2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号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5幢、西湖区何家村工业区块2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号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3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幢等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5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工业房产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 xml:space="preserve">使用期限均为国有建设用地使用权20 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52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年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 xml:space="preserve">07 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月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08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 xml:space="preserve"> 日止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，杭州市西湖区何家村工业园区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6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号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1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幢、杭州市西湖区何家村工业园区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6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号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2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幢等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5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套工业房产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使用期限均为国有建设用地使用权20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53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年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 xml:space="preserve">01 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>月</w:t>
            </w:r>
            <w:r>
              <w:rPr>
                <w:rFonts w:hint="eastAsia" w:eastAsia="方正书宋简体"/>
                <w:color w:val="000000"/>
                <w:sz w:val="21"/>
                <w:szCs w:val="21"/>
              </w:rPr>
              <w:t>09</w:t>
            </w:r>
            <w:r>
              <w:rPr>
                <w:rFonts w:eastAsia="方正书宋简体"/>
                <w:color w:val="000000"/>
                <w:sz w:val="21"/>
                <w:szCs w:val="21"/>
              </w:rPr>
              <w:t xml:space="preserve"> 日止。</w:t>
            </w:r>
          </w:p>
        </w:tc>
      </w:tr>
    </w:tbl>
    <w:p>
      <w:pPr>
        <w:spacing w:line="480" w:lineRule="exact"/>
        <w:jc w:val="both"/>
        <w:rPr>
          <w:rFonts w:eastAsia="新宋体"/>
          <w:sz w:val="26"/>
          <w:szCs w:val="26"/>
        </w:rPr>
      </w:pPr>
    </w:p>
    <w:p/>
    <w:sectPr>
      <w:headerReference r:id="rId3" w:type="default"/>
      <w:headerReference r:id="rId4" w:type="even"/>
      <w:footerReference r:id="rId5" w:type="even"/>
      <w:pgSz w:w="11907" w:h="16840"/>
      <w:pgMar w:top="1440" w:right="1797" w:bottom="1440" w:left="1797" w:header="709" w:footer="709" w:gutter="0"/>
      <w:pgNumType w:start="0"/>
      <w:cols w:space="720" w:num="1"/>
      <w:titlePg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书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2020-10-30T06:52:14Z</dcterms:created>
  <dc:creator>yanjuedu</dc:creator>
  <cp:lastModifiedBy>yanjuedu</cp:lastModifiedBy>
  <dcterms:modified xsi:type="dcterms:W3CDTF">2020-10-30T06:55:00Z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