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我方拟受让杭州市拱墅区花园岗路与孔雀路交叉口西南角地块杭实工发铭座5幢房屋5年租赁权项目（标的编号：</w:t>
      </w:r>
      <w:r>
        <w:rPr>
          <w:rFonts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1262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被确定为承租方次日起3个工作日内携带报名时上传的主体资格证明等相关文件原件至杭交所完成现场确认和签署《成交通知书》、交易记录、《杭实工发铭座5幢房屋及地面配套车位租赁合同》等相关文件。承租方须在《杭实工发铭座5幢房屋及地面配套车位租赁合同》签订次日起5个工作日内向杭交所资金监管账户支付第一期租金、履约保证金、交易服务费等交易资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同意已付的交易保证金自动转为交易服务费，多余部分（若有）依次充抵履约保证金和第一期租金</w:t>
      </w:r>
      <w:r>
        <w:rPr>
          <w:rFonts w:hint="eastAsia" w:asciiTheme="minorEastAsia" w:hAnsiTheme="minorEastAsia" w:eastAsiaTheme="minorEastAsia"/>
          <w:szCs w:val="21"/>
          <w:lang w:eastAsia="zh-CN"/>
        </w:rPr>
        <w:t>，</w:t>
      </w:r>
      <w:bookmarkStart w:id="0" w:name="_GoBack"/>
      <w:bookmarkEnd w:id="0"/>
      <w:r>
        <w:rPr>
          <w:rFonts w:hint="eastAsia" w:asciiTheme="minorEastAsia" w:hAnsiTheme="minorEastAsia" w:eastAsiaTheme="minorEastAsia"/>
          <w:szCs w:val="21"/>
        </w:rPr>
        <w:t>由杭交所在收到出租方出具的付款函之日起五个工作日内支付至出租方账户。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按约定付清第一期租金、履约保证金、交易服务费和装修保证金后，由出租方在约定的交付日按租赁物业的现状进行交付。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租赁物业持有的《不动产权证书》载明，权利性质为划拨，证载的用途为公园与绿地。承租方在该租赁物业内开展及经营业务前，应向政府主管部门取得所有必要的执照、批准或许可证等，自行办理相关的程序和执照，承担由此产生的费用。承租方应确保该执照、批准或许可证在租赁期限内完全有效，及在各方面均符合该执照、批准或许可证的规定。</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如因租赁物业证载的用途和租赁用途不一致而导致未取得前述执照、批准或许可证的，所有损失由承租方自行承担，出租方不承担任何责任。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本次租赁物业租赁用途为超市和轻餐饮，承租方不得在租赁期限内以任何理由改变物业实际用途；承租方在租赁期限内物业为自用经营，不得进行转租。</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承租方在该租赁物业的经营活动不得违反有关的法律、法规，必须确保其经营的合法性，否则承租方将承担因其不正当经营所造成的一切责任和后果。</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本次租赁物业地面配套6个车位，承租方须严格按照《杭州市机动车停车场（库）建设和管理办法》及相关规定进行运营、维护和管理。承租方应在国家的法律、法规及相关管理规定的前提下，根据物业属地政府规定的停车收费标准进行合法收费。如承租方更改收费标准，应自行办理物价备案手续，由此产生的法律、债权、债务、投诉问题由承租方自行处理解决，与出租方无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出租方与承租方的权利义务详见《杭实工发铭座5幢房屋及地面配套车位租赁合同》（样本）。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：第一计租年度的一个月租金计取。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w:t>
      </w:r>
      <w:r>
        <w:rPr>
          <w:rFonts w:hint="eastAsia" w:asciiTheme="minorEastAsia" w:hAnsiTheme="minorEastAsia" w:eastAsiaTheme="minorEastAsia"/>
          <w:szCs w:val="21"/>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《杭实工发铭座5幢房屋及地面配套车位租赁合同》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57825743"/>
    <w:rsid w:val="58FC29A2"/>
    <w:rsid w:val="614E1AC4"/>
    <w:rsid w:val="67354C30"/>
    <w:rsid w:val="7D987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74</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2020-10-29T08:30:02Z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