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val="en-US"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一批废旧设备</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 xml:space="preserve"> HJS2020ZC1227</w:t>
      </w:r>
      <w:bookmarkStart w:id="0" w:name="_GoBack"/>
      <w:bookmarkEnd w:id="0"/>
      <w:r>
        <w:rPr>
          <w:rFonts w:hint="eastAsia" w:asciiTheme="minorEastAsia" w:hAnsiTheme="minorEastAsia" w:eastAsiaTheme="minorEastAsia"/>
          <w:szCs w:val="21"/>
          <w:u w:val="single"/>
        </w:rPr>
        <w:t xml:space="preserve">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hint="eastAsia" w:asciiTheme="minorEastAsia" w:hAnsiTheme="minorEastAsia"/>
          <w:szCs w:val="21"/>
        </w:rPr>
      </w:pPr>
      <w:r>
        <w:rPr>
          <w:rFonts w:hint="eastAsia" w:asciiTheme="minorEastAsia" w:hAnsiTheme="minorEastAsia"/>
          <w:szCs w:val="21"/>
        </w:rPr>
        <w:t>3、同意在被确定为受让方次日起3个工作日内携带报名时上传的主体资格证明等相关文件原件至杭交所现场确认并签署交易记录、成交通知书和《资产交易合同》；并在《资产交易合同》签署次日起3个工作日内向杭交所指定账户一次性支付成交价款，交易服务费、履约保证金等交易资金（意向受让方被确定为受让方的，其交纳的交易保证金转为交易服务费，多余部分（若有）待《资产交易合同》签署之日依次冲抵履约保证金和成交价款）。</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74BB3B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6</TotalTime>
  <ScaleCrop>false</ScaleCrop>
  <LinksUpToDate>false</LinksUpToDate>
  <CharactersWithSpaces>1215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lou</cp:lastModifiedBy>
  <dcterms:modified xsi:type="dcterms:W3CDTF">2020-10-22T06:24:52Z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