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widowControl/>
        <w:spacing w:line="280" w:lineRule="exact"/>
        <w:jc w:val="center"/>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浙A181W丰田牌五座轿车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 xml:space="preserve">1192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个工作日向杭交所指定账户一次性支付成交价款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过户手续费1200元/辆、</w:t>
      </w:r>
      <w:r>
        <w:rPr>
          <w:rFonts w:hint="eastAsia" w:asciiTheme="minorEastAsia" w:hAnsiTheme="minorEastAsia" w:eastAsiaTheme="minorEastAsia"/>
          <w:szCs w:val="21"/>
        </w:rPr>
        <w:t>交易服务费等交易资金（成交标的对应的交易保证金自动转入交易服务费，多余部分（若有）充抵相应的交易价款），交易资金不限于交易价款、交易服务费</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11、交易成交的车辆由受让方自行办理转移登记手续。转让方提供相关证件，协助受让方办理产权变更、车辆移交等相关手续。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12、受让方未及时提取成交标的的，则应支付由此可能产生的保管费用并承担标的物灭失、毁损的风险。        </w:t>
      </w:r>
    </w:p>
    <w:p>
      <w:pPr>
        <w:ind w:firstLine="420" w:firstLineChars="200"/>
        <w:rPr>
          <w:rFonts w:asciiTheme="minorEastAsia" w:hAnsiTheme="minorEastAsia" w:eastAsiaTheme="minorEastAsia"/>
          <w:szCs w:val="21"/>
        </w:rPr>
      </w:pPr>
      <w:r>
        <w:rPr>
          <w:rFonts w:hint="eastAsia" w:ascii="宋体" w:hAnsi="宋体" w:cs="Times New Roman"/>
          <w:szCs w:val="21"/>
          <w:lang w:val="en-US" w:eastAsia="zh-CN"/>
        </w:rPr>
        <w:t>13、</w:t>
      </w:r>
      <w:r>
        <w:rPr>
          <w:rFonts w:hint="eastAsia" w:ascii="宋体" w:hAnsi="宋体" w:eastAsia="宋体" w:cs="Times New Roman"/>
          <w:szCs w:val="21"/>
        </w:rPr>
        <w:t>交易标的成交后必须过户至受让方名下。</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5C3065C0"/>
    <w:rsid w:val="5CCE7617"/>
    <w:rsid w:val="658340A6"/>
    <w:rsid w:val="6D39422D"/>
    <w:rsid w:val="7AF34EFE"/>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2020-10-20T05:52:06Z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