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（杭州市上城区皮市巷61、63、65、67号一层房屋3年租赁权项目（标的编号：HJS2020ZL1</w:t>
      </w:r>
      <w:r>
        <w:rPr>
          <w:rFonts w:hint="eastAsia" w:ascii="宋体" w:hAnsi="宋体"/>
          <w:b/>
          <w:sz w:val="22"/>
          <w:u w:val="single"/>
          <w:lang w:val="en-US" w:eastAsia="zh-CN"/>
        </w:rPr>
        <w:t>179）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我方知悉并同意：租赁房屋面积为</w:t>
      </w:r>
      <w:r>
        <w:rPr>
          <w:rFonts w:hint="eastAsia" w:ascii="pingfang sc regular" w:hAnsi="pingfang sc regular"/>
        </w:rPr>
        <w:t>证载</w:t>
      </w:r>
      <w:r>
        <w:rPr>
          <w:rFonts w:ascii="pingfang sc regular" w:hAnsi="pingfang sc regular"/>
        </w:rPr>
        <w:t>面积</w:t>
      </w:r>
      <w:r>
        <w:rPr>
          <w:rFonts w:hint="eastAsia" w:ascii="pingfang sc regular" w:hAnsi="pingfang sc regular"/>
        </w:rPr>
        <w:t>，</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商业，</w:t>
      </w:r>
      <w:r>
        <w:rPr>
          <w:rFonts w:ascii="宋体" w:hAnsi="宋体"/>
          <w:b/>
          <w:szCs w:val="21"/>
        </w:rPr>
        <w:t>不得经营餐饮</w:t>
      </w:r>
      <w:r>
        <w:rPr>
          <w:rFonts w:hint="eastAsia" w:ascii="宋体" w:hAnsi="宋体"/>
          <w:b/>
          <w:szCs w:val="21"/>
        </w:rPr>
        <w:t>、</w:t>
      </w:r>
      <w:r>
        <w:rPr>
          <w:rFonts w:ascii="宋体" w:hAnsi="宋体"/>
          <w:b/>
          <w:szCs w:val="21"/>
        </w:rPr>
        <w:t>棋牌</w:t>
      </w:r>
      <w:r>
        <w:rPr>
          <w:rFonts w:hint="eastAsia" w:ascii="宋体" w:hAnsi="宋体"/>
          <w:b/>
          <w:szCs w:val="21"/>
        </w:rPr>
        <w:t>、</w:t>
      </w:r>
      <w:r>
        <w:rPr>
          <w:rFonts w:ascii="宋体" w:hAnsi="宋体"/>
          <w:b/>
          <w:szCs w:val="21"/>
        </w:rPr>
        <w:t>足浴等娱乐扰民行业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bookmarkStart w:id="0" w:name="_GoBack"/>
      <w:bookmarkEnd w:id="0"/>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25AF514E"/>
    <w:rsid w:val="45431A55"/>
    <w:rsid w:val="50D0189D"/>
    <w:rsid w:val="69BE7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4</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2020-10-13T06:20:55Z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