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宋体" w:hAnsi="宋体"/>
          <w:szCs w:val="21"/>
        </w:rPr>
      </w:pPr>
      <w:r>
        <w:rPr>
          <w:rFonts w:hint="eastAsia" w:ascii="宋体" w:hAnsi="宋体"/>
          <w:szCs w:val="21"/>
        </w:rPr>
        <w:t>杭州</w:t>
      </w:r>
      <w:r>
        <w:rPr>
          <w:rFonts w:ascii="宋体" w:hAnsi="宋体"/>
          <w:szCs w:val="21"/>
        </w:rPr>
        <w:t>产权交易所</w:t>
      </w:r>
      <w:r>
        <w:rPr>
          <w:rFonts w:hint="eastAsia" w:ascii="宋体" w:hAnsi="宋体"/>
          <w:szCs w:val="21"/>
        </w:rPr>
        <w:t>有限责任公司</w:t>
      </w:r>
      <w:r>
        <w:rPr>
          <w:rFonts w:ascii="宋体" w:hAnsi="宋体"/>
          <w:szCs w:val="21"/>
        </w:rPr>
        <w:t>：</w:t>
      </w:r>
    </w:p>
    <w:p>
      <w:pPr>
        <w:spacing w:line="360" w:lineRule="auto"/>
        <w:rPr>
          <w:rFonts w:ascii="宋体" w:hAnsi="宋体"/>
          <w:szCs w:val="21"/>
        </w:rPr>
      </w:pPr>
      <w:r>
        <w:rPr>
          <w:rFonts w:hint="eastAsia" w:ascii="宋体" w:hAnsi="宋体"/>
          <w:szCs w:val="21"/>
          <w:u w:val="none"/>
        </w:rPr>
        <w:t>杭州企业产权交易中心有限公司</w:t>
      </w:r>
      <w:r>
        <w:rPr>
          <w:rFonts w:hint="eastAsia" w:ascii="宋体" w:hAnsi="宋体"/>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杭州市滨江区钱塘春晓大厦1015室等10套房产项目（标的编号：HJS2020ZC0548-0557），现做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3个工作日内携带报名时上传的主体资格证明等相关文件原件至杭交所完成现场确认和签署《成交通知书》、《资产交易合同》；并在《资产交易合同》签署次日起20个工作日内一次性支付成交价款、交易服务费等交易资金（受让方已付的交易保证金自动转为交易服务费，多余部分转为履约保证金，履约保证金可冲抵最后一笔成交款）。若受让方需要委托杭州企业产权交易中心有限公司办理权证过户手续的，杭州企业产权交易中心有限公司可提供有偿的权证过户服务，同时受让方还应自《成交通知书》签署之日起 20个工作日内预付成交价4%款项作为办理权证过户手续的税、费（多退少补）。</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对符合按揭政策的受让方申请用经纪会员杭州企业产权交易中心有限公司指定银行（浦发银行）商业贷款支付成交款项并获得银行核准的，须在《成交通知书》、《资产交易合同》签署之日起5个工作日内付清首付款（受让方已付的交易保证金扣除交易服务费后自动转为首付款，不足部分受让方按期补足）、交易服务费及预付成交价4%款项作为办理权证过户手续的税、费（多退少补），余款用银行贷款支付。若银行审核后不同意贷款的，受让方应自银行贷款审核不通过之日起10个工作日内一次性付清全部成交款（原交易保证金扣除交易服务费后转为首付款的金额自动转为履约保证金，履约保证金可冲抵最后一笔成交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同意杭交所经转让方申请</w:t>
      </w:r>
      <w:r>
        <w:rPr>
          <w:rFonts w:hint="eastAsia" w:asciiTheme="minorEastAsia" w:hAnsiTheme="minorEastAsia" w:eastAsiaTheme="minorEastAsia"/>
          <w:szCs w:val="21"/>
        </w:rPr>
        <w:t>次日</w:t>
      </w:r>
      <w:r>
        <w:rPr>
          <w:rFonts w:asciiTheme="minorEastAsia" w:hAnsiTheme="minorEastAsia" w:eastAsiaTheme="minorEastAsia"/>
          <w:szCs w:val="21"/>
        </w:rPr>
        <w:t>起3个工作日内将受让方已交纳的交易价款</w:t>
      </w:r>
      <w:r>
        <w:rPr>
          <w:rFonts w:hint="eastAsia" w:asciiTheme="minorEastAsia" w:hAnsiTheme="minorEastAsia" w:eastAsiaTheme="minorEastAsia"/>
          <w:szCs w:val="21"/>
        </w:rPr>
        <w:t>全部划转</w:t>
      </w:r>
      <w:r>
        <w:rPr>
          <w:rFonts w:asciiTheme="minorEastAsia" w:hAnsiTheme="minorEastAsia" w:eastAsiaTheme="minorEastAsia"/>
          <w:szCs w:val="21"/>
        </w:rPr>
        <w:t>至转让方指定账户。</w:t>
      </w:r>
      <w:r>
        <w:rPr>
          <w:rFonts w:hint="eastAsia" w:asciiTheme="minorEastAsia" w:hAnsiTheme="minorEastAsia" w:eastAsiaTheme="minorEastAsia"/>
          <w:szCs w:val="21"/>
        </w:rPr>
        <w:t>转让方和受让方对交易标的交付有异议的，由双方自行解决，经纪会员和杭交所不承担责任。</w:t>
      </w:r>
    </w:p>
    <w:p>
      <w:pPr>
        <w:spacing w:line="360" w:lineRule="auto"/>
        <w:ind w:firstLine="420" w:firstLineChars="200"/>
        <w:rPr>
          <w:rFonts w:hint="eastAsia" w:ascii="宋体" w:hAnsi="宋体"/>
          <w:sz w:val="21"/>
          <w:szCs w:val="21"/>
          <w:lang w:eastAsia="zh-CN"/>
        </w:rPr>
      </w:pPr>
      <w:r>
        <w:rPr>
          <w:rFonts w:hint="eastAsia" w:ascii="宋体" w:hAnsi="宋体"/>
          <w:szCs w:val="21"/>
          <w:lang w:val="en-US" w:eastAsia="zh-CN"/>
        </w:rPr>
        <w:t>5</w:t>
      </w:r>
      <w:r>
        <w:rPr>
          <w:rFonts w:hint="eastAsia" w:ascii="宋体" w:hAnsi="宋体"/>
          <w:szCs w:val="21"/>
        </w:rPr>
        <w:t>、</w:t>
      </w:r>
      <w:r>
        <w:rPr>
          <w:rFonts w:hint="eastAsia" w:ascii="宋体" w:hAnsi="宋体"/>
          <w:sz w:val="21"/>
          <w:szCs w:val="21"/>
          <w:lang w:eastAsia="zh-CN"/>
        </w:rPr>
        <w:t>若成为受让方，若因受让方原因造成所受让房屋无法过户，受让方所缴纳的购房款损失及其他经济损失均由受让方承担，与转让方及经纪会员无关，受让方已付交易资金包括但不限于交易服务费、履约保证金等不予返还。</w:t>
      </w:r>
    </w:p>
    <w:p>
      <w:pPr>
        <w:spacing w:line="360" w:lineRule="auto"/>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w:t>
      </w:r>
      <w:r>
        <w:rPr>
          <w:rFonts w:hint="eastAsia" w:ascii="宋体" w:hAnsi="宋体"/>
          <w:sz w:val="21"/>
          <w:szCs w:val="21"/>
          <w:lang w:eastAsia="zh-CN"/>
        </w:rPr>
        <w:t>若成为受让方，同意</w:t>
      </w:r>
      <w:r>
        <w:rPr>
          <w:rFonts w:hint="eastAsia" w:ascii="宋体" w:hAnsi="宋体"/>
          <w:szCs w:val="21"/>
        </w:rPr>
        <w:t>在办理房地产权证变更登记手续时，有关职能部门要求提供文本合同的，转让方和受让方双方应按照相关规定签订文本合同。</w:t>
      </w:r>
    </w:p>
    <w:p>
      <w:pPr>
        <w:spacing w:line="360" w:lineRule="auto"/>
        <w:ind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w:t>
      </w:r>
      <w:r>
        <w:rPr>
          <w:rFonts w:hint="eastAsia" w:ascii="宋体" w:hAnsi="宋体"/>
          <w:sz w:val="21"/>
          <w:szCs w:val="21"/>
          <w:lang w:eastAsia="zh-CN"/>
        </w:rPr>
        <w:t>若成为受让方，同意</w:t>
      </w:r>
      <w:r>
        <w:rPr>
          <w:rFonts w:hint="eastAsia" w:ascii="宋体" w:hAnsi="宋体"/>
          <w:sz w:val="21"/>
          <w:szCs w:val="21"/>
        </w:rPr>
        <w:t>交易成交标的交割前所涉及标的拖欠的各种费用（包括但不限于物业管理费、水电费等）由转让方承担，相关费用由</w:t>
      </w:r>
      <w:r>
        <w:rPr>
          <w:rFonts w:hint="eastAsia" w:ascii="宋体" w:hAnsi="宋体"/>
          <w:sz w:val="21"/>
          <w:szCs w:val="21"/>
          <w:lang w:eastAsia="zh-CN"/>
        </w:rPr>
        <w:t>受让方</w:t>
      </w:r>
      <w:r>
        <w:rPr>
          <w:rFonts w:hint="eastAsia" w:ascii="宋体" w:hAnsi="宋体"/>
          <w:sz w:val="21"/>
          <w:szCs w:val="21"/>
        </w:rPr>
        <w:t>先行垫付,物业管理费从交接次月起由</w:t>
      </w:r>
      <w:r>
        <w:rPr>
          <w:rFonts w:hint="eastAsia" w:ascii="宋体" w:hAnsi="宋体"/>
          <w:sz w:val="21"/>
          <w:szCs w:val="21"/>
          <w:lang w:eastAsia="zh-CN"/>
        </w:rPr>
        <w:t>受让方</w:t>
      </w:r>
      <w:r>
        <w:rPr>
          <w:rFonts w:hint="eastAsia" w:ascii="宋体" w:hAnsi="宋体"/>
          <w:sz w:val="21"/>
          <w:szCs w:val="21"/>
        </w:rPr>
        <w:t>承担，水、电重新开户相关手续由</w:t>
      </w:r>
      <w:r>
        <w:rPr>
          <w:rFonts w:hint="eastAsia" w:ascii="宋体" w:hAnsi="宋体"/>
          <w:sz w:val="21"/>
          <w:szCs w:val="21"/>
          <w:lang w:eastAsia="zh-CN"/>
        </w:rPr>
        <w:t>受让方</w:t>
      </w:r>
      <w:r>
        <w:rPr>
          <w:rFonts w:hint="eastAsia" w:ascii="宋体" w:hAnsi="宋体"/>
          <w:sz w:val="21"/>
          <w:szCs w:val="21"/>
        </w:rPr>
        <w:t>自行办理。</w:t>
      </w:r>
      <w:r>
        <w:rPr>
          <w:rFonts w:hint="eastAsia" w:ascii="宋体" w:hAnsi="宋体"/>
          <w:sz w:val="21"/>
          <w:szCs w:val="21"/>
          <w:lang w:eastAsia="zh-CN"/>
        </w:rPr>
        <w:t>受让方</w:t>
      </w:r>
      <w:r>
        <w:rPr>
          <w:rFonts w:hint="eastAsia" w:ascii="宋体" w:hAnsi="宋体"/>
          <w:sz w:val="21"/>
          <w:szCs w:val="21"/>
        </w:rPr>
        <w:t>需按房产所在小区物业管理规定交纳物业管理费。</w:t>
      </w:r>
    </w:p>
    <w:p>
      <w:pPr>
        <w:spacing w:line="360" w:lineRule="auto"/>
        <w:ind w:firstLine="420" w:firstLineChars="200"/>
        <w:rPr>
          <w:rFonts w:hint="eastAsia" w:ascii="宋体" w:hAnsi="宋体"/>
          <w:szCs w:val="21"/>
        </w:rPr>
      </w:pPr>
      <w:r>
        <w:rPr>
          <w:rFonts w:hint="eastAsia" w:ascii="宋体" w:hAnsi="宋体"/>
          <w:szCs w:val="21"/>
          <w:lang w:val="en-US" w:eastAsia="zh-CN"/>
        </w:rPr>
        <w:t>8</w:t>
      </w:r>
      <w:r>
        <w:rPr>
          <w:rFonts w:hint="eastAsia" w:ascii="宋体" w:hAnsi="宋体"/>
          <w:szCs w:val="21"/>
        </w:rPr>
        <w:t>、</w:t>
      </w:r>
      <w:bookmarkStart w:id="0" w:name="_GoBack"/>
      <w:r>
        <w:rPr>
          <w:rFonts w:hint="eastAsia" w:ascii="宋体" w:hAnsi="宋体"/>
          <w:sz w:val="21"/>
          <w:szCs w:val="21"/>
          <w:lang w:eastAsia="zh-CN"/>
        </w:rPr>
        <w:t>若成为受让方，同</w:t>
      </w:r>
      <w:bookmarkEnd w:id="0"/>
      <w:r>
        <w:rPr>
          <w:rFonts w:hint="eastAsia" w:ascii="宋体" w:hAnsi="宋体"/>
          <w:sz w:val="21"/>
          <w:szCs w:val="21"/>
          <w:lang w:eastAsia="zh-CN"/>
        </w:rPr>
        <w:t>意</w:t>
      </w:r>
      <w:r>
        <w:rPr>
          <w:rFonts w:hint="eastAsia" w:ascii="宋体" w:hAnsi="宋体"/>
          <w:sz w:val="21"/>
          <w:szCs w:val="21"/>
        </w:rPr>
        <w:t>本次交易标的只限于权证核定的面积范围内，不包括标的外部的附属用房、设施等。标的房屋如有漏水或需维修的情况，均由</w:t>
      </w:r>
      <w:r>
        <w:rPr>
          <w:rFonts w:hint="eastAsia" w:ascii="宋体" w:hAnsi="宋体"/>
          <w:sz w:val="21"/>
          <w:szCs w:val="21"/>
          <w:lang w:eastAsia="zh-CN"/>
        </w:rPr>
        <w:t>受让方</w:t>
      </w:r>
      <w:r>
        <w:rPr>
          <w:rFonts w:hint="eastAsia" w:ascii="宋体" w:hAnsi="宋体"/>
          <w:sz w:val="21"/>
          <w:szCs w:val="21"/>
        </w:rPr>
        <w:t>自理,转让方不承担任何费用和责任。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lang w:val="en-US" w:eastAsia="zh-CN"/>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、若非转让方原因，出现以下任一情况时，转让方有权扣除意向受让方交纳的交易保证金，先用于补偿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及经纪会员的各项服务费，剩余部分作为对转让方的经济补偿金，交易保证金不足以补偿的，相关方有权按照实际损失继续追诉：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意向受让方提交受让申请并交纳交易保证金后单方撤回受让申请的；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为受让方后未按约定签署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val="en-US" w:eastAsia="zh-CN"/>
        </w:rPr>
        <w:t>资产</w:t>
      </w:r>
      <w:r>
        <w:rPr>
          <w:rFonts w:hint="eastAsia" w:asciiTheme="minorEastAsia" w:hAnsiTheme="minorEastAsia" w:eastAsiaTheme="minorEastAsia"/>
          <w:szCs w:val="21"/>
          <w:u w:val="single"/>
        </w:rPr>
        <w:t>交易</w:t>
      </w:r>
      <w:r>
        <w:rPr>
          <w:rFonts w:asciiTheme="minorEastAsia" w:hAnsiTheme="minorEastAsia" w:eastAsiaTheme="minorEastAsia"/>
          <w:szCs w:val="21"/>
          <w:u w:val="single"/>
        </w:rPr>
        <w:t>合同》</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意向受让方未履行书面承诺事项的；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3337E"/>
    <w:rsid w:val="00143D8A"/>
    <w:rsid w:val="0020310B"/>
    <w:rsid w:val="002278BB"/>
    <w:rsid w:val="002526A0"/>
    <w:rsid w:val="00255411"/>
    <w:rsid w:val="00274544"/>
    <w:rsid w:val="003229C2"/>
    <w:rsid w:val="003A2F6F"/>
    <w:rsid w:val="003E079C"/>
    <w:rsid w:val="00413930"/>
    <w:rsid w:val="00430675"/>
    <w:rsid w:val="004C246D"/>
    <w:rsid w:val="004D1B74"/>
    <w:rsid w:val="004E1479"/>
    <w:rsid w:val="004E3107"/>
    <w:rsid w:val="004F3BEF"/>
    <w:rsid w:val="00503879"/>
    <w:rsid w:val="0055051A"/>
    <w:rsid w:val="00627BE3"/>
    <w:rsid w:val="00662215"/>
    <w:rsid w:val="00737286"/>
    <w:rsid w:val="007847DD"/>
    <w:rsid w:val="00790D21"/>
    <w:rsid w:val="007E4EDD"/>
    <w:rsid w:val="0084282E"/>
    <w:rsid w:val="00884F8A"/>
    <w:rsid w:val="008D72E8"/>
    <w:rsid w:val="00906FAC"/>
    <w:rsid w:val="00934A3A"/>
    <w:rsid w:val="0096235F"/>
    <w:rsid w:val="009733B3"/>
    <w:rsid w:val="009F646A"/>
    <w:rsid w:val="00A11F15"/>
    <w:rsid w:val="00A24DD0"/>
    <w:rsid w:val="00A53E81"/>
    <w:rsid w:val="00A96775"/>
    <w:rsid w:val="00AA4243"/>
    <w:rsid w:val="00AF7180"/>
    <w:rsid w:val="00B15A11"/>
    <w:rsid w:val="00B170BB"/>
    <w:rsid w:val="00B36433"/>
    <w:rsid w:val="00B91182"/>
    <w:rsid w:val="00B923AA"/>
    <w:rsid w:val="00C02F3D"/>
    <w:rsid w:val="00C07B7D"/>
    <w:rsid w:val="00C2125E"/>
    <w:rsid w:val="00C300A5"/>
    <w:rsid w:val="00C80243"/>
    <w:rsid w:val="00C85BC7"/>
    <w:rsid w:val="00CB5B8C"/>
    <w:rsid w:val="00D56D57"/>
    <w:rsid w:val="00E00E55"/>
    <w:rsid w:val="00E60BD5"/>
    <w:rsid w:val="00ED4E9F"/>
    <w:rsid w:val="00EF62AF"/>
    <w:rsid w:val="00F06BEC"/>
    <w:rsid w:val="00F47654"/>
    <w:rsid w:val="00FA0343"/>
    <w:rsid w:val="00FA6AB7"/>
    <w:rsid w:val="19FC2A5A"/>
    <w:rsid w:val="21795012"/>
    <w:rsid w:val="2ECA4F98"/>
    <w:rsid w:val="33EC1436"/>
    <w:rsid w:val="5065506E"/>
    <w:rsid w:val="72FB7DA5"/>
    <w:rsid w:val="79E640A1"/>
    <w:rsid w:val="7D9D5F7B"/>
    <w:rsid w:val="7E913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160</Words>
  <Characters>912</Characters>
  <Lines>7</Lines>
  <Paragraphs>2</Paragraphs>
  <TotalTime>5</TotalTime>
  <ScaleCrop>false</ScaleCrop>
  <LinksUpToDate>false</LinksUpToDate>
  <CharactersWithSpaces>1070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dcterms:modified xsi:type="dcterms:W3CDTF">2020-06-04T08:14:16Z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