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杭州市上城区建国中路61号（万安桥泵站）7幢1层商铺-5（从南至北第5间）房屋5年租赁权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HJS2020ZL0672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w:t>
      </w:r>
      <w:bookmarkStart w:id="0" w:name="_GoBack"/>
      <w:bookmarkEnd w:id="0"/>
      <w:r>
        <w:rPr>
          <w:rFonts w:hint="eastAsia" w:asciiTheme="minorEastAsia" w:hAnsiTheme="minorEastAsia" w:eastAsiaTheme="minorEastAsia"/>
          <w:szCs w:val="21"/>
          <w:u w:val="single"/>
        </w:rPr>
        <w:t>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lang w:val="en-US" w:eastAsia="zh-CN"/>
        </w:rPr>
        <w:t>1</w:t>
      </w:r>
      <w:r>
        <w:rPr>
          <w:rFonts w:asciiTheme="minorEastAsia" w:hAnsiTheme="minorEastAsia" w:eastAsiaTheme="minorEastAsia"/>
          <w:szCs w:val="21"/>
        </w:rPr>
        <w:t>个工作日内</w:t>
      </w:r>
      <w:r>
        <w:rPr>
          <w:rFonts w:hint="eastAsia" w:asciiTheme="minorEastAsia" w:hAnsiTheme="minorEastAsia" w:eastAsiaTheme="minorEastAsia"/>
          <w:szCs w:val="21"/>
          <w:u w:val="single"/>
        </w:rPr>
        <w:t>携带报名时上传的主体资格证明等相关文件原件至杭交所完成现场确认和签署署《成交通知书》、交易记录及《房屋租赁合同》、《房屋租赁消防安全综治责任书》、《廉政责任书》等相关合同文件</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《成交通知书》、《房屋租赁合同》签署次日起</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个工作日内向杭州产权交易所有限责任公司资金监管账户支付第一计租年度租金、租赁保证金及交易服务费（</w:t>
      </w:r>
      <w:r>
        <w:rPr>
          <w:rFonts w:hint="eastAsia" w:asciiTheme="minorEastAsia" w:hAnsiTheme="minorEastAsia" w:eastAsiaTheme="minorEastAsia"/>
          <w:szCs w:val="21"/>
          <w:u w:val="single"/>
          <w:lang w:eastAsia="zh-CN"/>
        </w:rPr>
        <w:t>我方</w:t>
      </w:r>
      <w:r>
        <w:rPr>
          <w:rFonts w:hint="eastAsia" w:asciiTheme="minorEastAsia" w:hAnsiTheme="minorEastAsia" w:eastAsiaTheme="minorEastAsia"/>
          <w:szCs w:val="21"/>
          <w:u w:val="single"/>
        </w:rPr>
        <w:t>已付的交易保证金自动转为交易服务费，多余部分（若有）依次充抵租赁保证金和相应的第一计租年度租金）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eastAsia="zh-CN"/>
        </w:rPr>
        <w:t>违约责任：</w:t>
      </w:r>
      <w:r>
        <w:rPr>
          <w:rFonts w:hint="eastAsia" w:asciiTheme="minorEastAsia" w:hAnsiTheme="minorEastAsia" w:eastAsiaTheme="minorEastAsia"/>
          <w:szCs w:val="21"/>
        </w:rPr>
        <w:t>若我方未能在被确认为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次日起</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个工作日内按上述约定完成现场确认和签署《成交通知书》、交易记录、《房屋租赁合同等交易合同的，视为我方违约，我方已付的交易保证金不予退还，并承担由此产生的一切法律责任；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逾期付款，出租方有权延期交房，逾期付款超过10天，视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根本违约，出租方有权单方面解除已签订《房屋租赁合同》，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已付的款项（包括但不限于交易服务费、租赁保证金和第一期租金）不予返还。具体违约责任以出租方提供的《房屋租赁合同》为准。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）我方知悉并承诺：出租方保证租赁房屋产权无争议。该房屋不动产权证证载权利性质为出让/自建房，证载用途为公共设施用地/非住宅。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在租赁房屋后，因证载用途与租赁用途不一致而需要办理相关审批手续的，由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如有损失自行承担。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在租赁房屋内进行经营活动前，应取得政府有关部门批准必要的执照、批准证书或许可证等（如法律、法规要求），相关费用均由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承诺按照该执照、批准证等证书或许可证的规定进行经营活动。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未经出租方书面同意擅自将房屋转租、转让、转借他人或调换使用的，视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违约，出租方有权单方面终止《房屋租赁合同》，收回该房屋，不予返还租赁保证金，由此而造成出租方损失的，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应予以赔偿。如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确需转租的，应书面向出租方申请，经出租方同意后方可进行。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如需对房屋进行改造、装修或增扩设备时，不允许改变房屋的主体结构，应按规定向出租方以及有关部门办理审批同意手续后，方可进行。其所有相关责任和费用由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承担。合同期满终止后，出租方不予以赔偿。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）我方知悉并承诺：租赁合同期满，</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在租赁期间的新增设备及可移动部分可由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自行拆卸搬离，装修部分无条件归出租方所有，与租赁房屋一起移交，出租方不作赔偿。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）我方知悉并承诺：此次出租房屋为</w:t>
      </w:r>
      <w:r>
        <w:rPr>
          <w:rFonts w:hint="eastAsia" w:asciiTheme="minorEastAsia" w:hAnsiTheme="minorEastAsia" w:eastAsiaTheme="minorEastAsia"/>
          <w:szCs w:val="21"/>
          <w:lang w:eastAsia="zh-CN"/>
        </w:rPr>
        <w:t>经营用房</w:t>
      </w:r>
      <w:r>
        <w:rPr>
          <w:rFonts w:hint="eastAsia" w:asciiTheme="minorEastAsia" w:hAnsiTheme="minorEastAsia" w:eastAsiaTheme="minorEastAsia"/>
          <w:szCs w:val="21"/>
        </w:rPr>
        <w:t>，为确保供水安全，如遇政府重大活动、政府要求或其他政府因素，</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应无条件服从政府或出租方安排，由此造成的损失，由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自行承担，出租方不予以赔偿。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）我方知悉并承诺：在租赁期内，如遇出租方改制、生产建设需要或发生城市规划、市政建设、违章搭建整治等不可抗力的情况时，需要收回、拆除、改造所租赁的房屋，</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须无条件腾退或造成承租方损失的，出租方不承担责任。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的权利义务详见《房屋租赁合同》。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6、房屋交付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（1）本次房屋租赁权的交接，在出租方与承租方之间进行。承租方按约付清第一期租金、租赁保证金及交易服务费后，出租方将租赁房屋交付承租方。如承租方逾期付款，出租方有权延期交房。 （2）交付按移交时现状进行，不保证装修、装饰物的完好，出租方将租赁房屋移交给承租方即视为本次租赁权交付完毕。 （3）本次租赁房屋的原承租人获得本次租赁权的，按约定付清交易服务费、第一期租金及租赁保证金后，即视作出租方已完成本次租赁权的交付。（原承租人适用） （4）如原承租人未成交，由出租方负责清退原承租人。承租方应理解出租方在清退原承租人工作方面的复杂性。如果因出租方无法顺利收回租赁房屋等原因导致延迟租赁房屋交付的，不视为出租方违约。承租方应同意无条件等待该租赁房屋的清退，直至交付止，等待期间不得要求退回已交的第一计租年度租金、租赁保证金、交易服务费或修改《房屋租赁合同》。实际交付时，出租方与承租方补签《补充协议书》，明确租期起始时间与租金及付款方式。租赁期以《补充协议书》上确定的交付之日起算，即以实际交付租赁房屋之日起算租赁期限，自动后延为租赁期整五年。在此期间新承租方如有损失，全部自行承担。（非原承租人适用）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同意按</w:t>
      </w:r>
      <w:r>
        <w:rPr>
          <w:rFonts w:hint="eastAsia"/>
        </w:rPr>
        <w:t>第一年的一个月租金</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67C3BD0"/>
    <w:rsid w:val="22F13E40"/>
    <w:rsid w:val="258432D6"/>
    <w:rsid w:val="264D394A"/>
    <w:rsid w:val="2CF67318"/>
    <w:rsid w:val="380B12B2"/>
    <w:rsid w:val="3A4574B2"/>
    <w:rsid w:val="4E027EC5"/>
    <w:rsid w:val="4F8662CB"/>
    <w:rsid w:val="54687E2E"/>
    <w:rsid w:val="55B733F8"/>
    <w:rsid w:val="57E43E5E"/>
    <w:rsid w:val="58E27BEC"/>
    <w:rsid w:val="5C6F1AF2"/>
    <w:rsid w:val="628B4E3B"/>
    <w:rsid w:val="63F50A4F"/>
    <w:rsid w:val="67B05535"/>
    <w:rsid w:val="68055A2E"/>
    <w:rsid w:val="69690645"/>
    <w:rsid w:val="6F8F0574"/>
    <w:rsid w:val="70681F34"/>
    <w:rsid w:val="71204A9C"/>
    <w:rsid w:val="77D53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2020-06-12T07:39:44Z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2052-11.1.0.9748</vt:lpwstr>
  </property>
</Properties>
</file>