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ind w:right="1100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观音塘居安坊7幢16号605室等3</w:t>
      </w:r>
      <w:r>
        <w:rPr>
          <w:rFonts w:hint="eastAsia" w:ascii="宋体"/>
          <w:b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/>
          <w:b/>
          <w:sz w:val="32"/>
          <w:szCs w:val="32"/>
        </w:rPr>
        <w:t>处房地产交易标的清单</w:t>
      </w:r>
    </w:p>
    <w:tbl>
      <w:tblPr>
        <w:tblStyle w:val="3"/>
        <w:tblW w:w="13232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37"/>
        <w:gridCol w:w="2177"/>
        <w:gridCol w:w="972"/>
        <w:gridCol w:w="972"/>
        <w:gridCol w:w="1076"/>
        <w:gridCol w:w="1504"/>
        <w:gridCol w:w="1223"/>
        <w:gridCol w:w="1416"/>
        <w:gridCol w:w="640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序列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房屋地址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不动产权证编号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房屋建筑面积m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土地使用权面积m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权利性质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用途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出让终止日期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转让底价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建成年份约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房屋状态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观音塘居安坊7幢16号605室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浙（2018）杭州市不动产权第0100350号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31.82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29.30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划拨/存量房产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城镇住宅用地/住宅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1,134,150.00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1994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观音塘居安坊10幢20号102室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浙（2018）杭州市不动产权第0100330号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79.01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72.70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划拨/存量房产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城镇住宅用地/住宅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2,702,375.00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1994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怡静坊6幢21号501室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浙（2018）杭州市不动产权第0100358号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82.64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11.80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划拨/存量房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城镇住宅用地/住宅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2,971,229.00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1994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三里亭苑一区10幢703室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浙（2018）杭州市不动产权第0100335号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62.71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36.50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划拨/存量房产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城镇住宅用地/住宅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1,977,396.00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1997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三里亭苑二区4幢704室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浙（2018）杭州市不动产权第0100346号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51.44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26.10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划拨/存量房产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城镇住宅用地/住宅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1,623,178.00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1998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空置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三里亭苑二区11幢1单元701室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浙（2018）杭州市不动产权第0100334号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70.37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41.50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划拨/存量房产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城镇住宅用地/住宅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2,287,805.00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1998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空置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三里亭苑二区11幢1单元704室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浙（2018）杭州市不动产权第0100333号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70.37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41.50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划拨/存量房产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城镇住宅用地/住宅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2,174,157.00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1998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出租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三里亭苑二区17幢3单元703室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浙（2018）杭州市不动产权第0100347号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45.61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26.00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划拨/存量房产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城镇住宅用地/住宅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1,452,815.00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1997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三里亭苑二区19幢3单元702室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浙（2018）杭州市不动产权第0100342号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53.09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30.20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划拨/存量房产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城镇住宅用地/住宅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1,674,265.00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1996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三里亭苑二区23幢3单元601室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浙（2018）杭州市不动产权第0100207号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94.95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46.80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划拨/存量单位房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城镇住宅用地/住宅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2,996,540.00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2004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三里亭苑二区23幢1单元602室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浙（2018）杭州市不动产权第0100205号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94.95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46.80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划拨/存量单位房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城镇住宅用地/住宅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3,026,639.00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2004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三里亭苑三区10幢1单元602室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浙（2018）杭州市不动产权第0100159号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35.09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19.10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划拨/存量房产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城镇住宅用地/住宅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1,140,239.00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空置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三里亭苑三区10幢3单元702室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浙（2018）杭州市不动产权第0100349号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35.11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19.10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划拨/存量房产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城镇住宅用地/住宅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1,118,633.00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三里亭苑三区13幢2单元602室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浙（2018）杭州市不动产权第0100331号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76.23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71.10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划拨/存量房产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城镇住宅用地/住宅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2,371,530.00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三里亭苑三区22幢3单元702室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浙（2018）杭州市不动产权第0100341号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54.89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30.70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划拨/存量房产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城镇住宅用地/住宅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1,713,787.00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空置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三里亭苑三区40幢3单元101室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浙（2018）杭州市不动产权第0100343号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26.80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划拨/存量房产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城镇住宅用地/住宅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1,689,232.00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1999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空置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三里亭苑四区11幢703室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浙（2018）杭州市不动产权第0100336号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59.95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38.10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划拨/存量房产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城镇住宅用地/住宅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1,927,413.00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1996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三里亭苑四区27幢3单元301室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浙（2018）杭州市不动产权第0100344号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52.75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19.90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划拨/存量房产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城镇住宅用地/住宅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1,783,627.00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1999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三里亭苑四区28幢5单元601室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浙（2018）杭州市不动产权第0100339号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58.31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22.00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划拨/存量房产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城镇住宅用地/住宅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1,916,172.00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1999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浪琴翠园5幢2单元101（商店）室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浙（2017）杭州市不动产权第0292842号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129.41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52.90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出让/存量房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商服用地/非住宅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2042年01月16日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2,289,392.00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拱墅区小河路259号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浙（2018）杭州市不动产权第0100184号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170.65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30.70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出让/存量房产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商服用地/非住宅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2047年08月07日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4,435,876.00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拱墅区小河路271号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浙（2018）杭州市不动产权第0100185号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97.68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10.80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出让/存量房产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商服用地/非住宅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2047年08月07日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3,096,456.00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江干区三里新城桂苑1幢5室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浙（2018）杭州市不动产权第0096882号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38.56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13.80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出让/存量房产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综合用地/非住宅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2048年09月25日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551,447.00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空置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江干区三里新城桂苑1幢6室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浙（2018）杭州市不动产权第0096883号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38.56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13.80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出让/存量房产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综合用地/非住宅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2048年09月25日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551,447.00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空置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江干区三里新城桂苑1幢8室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浙（2018）杭州市不动产权第0096885号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38.56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13.80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出让/存量房产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综合用地/非住宅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2048年09月25日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551,447.00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空置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江干区三里新城桂苑1幢13室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浙（2018）杭州市不动产权第0096886号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38.56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13.80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出让/存量房产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综合用地/非住宅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2048年09月25日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562,706.00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空置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江干区三里新城桂苑1幢14室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浙（2018）杭州市不动产权第0096887号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38.56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13.80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出让/存量房产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综合用地/非住宅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2048年09月25日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557,076.00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空置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江干区三里新城桂苑1幢15室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浙（2018）杭州市不动产权第0096888号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38.56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13.80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出让/存量房产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综合用地/非住宅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2048年09月25日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562,706.00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空置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江干区三里新城桂苑1幢17室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浙（2018）杭州市不动产权第0096891号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38.01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13.60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出让/存量房产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综合用地/非住宅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2048年09月25日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554,680.00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空置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江干区三里新城桂苑1幢18室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浙（2018）杭州市不动产权第0096890号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38.01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13.60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出让/存量房产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综合用地/非住宅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2048年09月25日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554,680.00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空置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江干区三里新城桂苑1幢19室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浙（2018）杭州市不动产权第0096892号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38.01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13.60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出让/存量房产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综合用地/非住宅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2048年09月25日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554,680.00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空置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江干区三里新城桂苑1幢20室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浙（2018）杭州市不动产权第0096889号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38.01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13.60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出让/存量房产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综合用地/非住宅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2048年09月25日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554,680.00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空置</w:t>
            </w:r>
          </w:p>
        </w:tc>
      </w:tr>
    </w:tbl>
    <w:p>
      <w:pPr>
        <w:numPr>
          <w:ilvl w:val="0"/>
          <w:numId w:val="1"/>
        </w:numPr>
        <w:tabs>
          <w:tab w:val="left" w:pos="1400"/>
        </w:tabs>
        <w:adjustRightInd w:val="0"/>
        <w:snapToGrid w:val="0"/>
        <w:spacing w:line="36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本次交易采用O2O在线报价方式，交易保证金人民币10万元/套。</w:t>
      </w:r>
    </w:p>
    <w:p>
      <w:pPr>
        <w:tabs>
          <w:tab w:val="left" w:pos="1400"/>
        </w:tabs>
        <w:adjustRightInd w:val="0"/>
        <w:snapToGrid w:val="0"/>
        <w:spacing w:line="36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2、交易对象：</w:t>
      </w:r>
    </w:p>
    <w:p>
      <w:pPr>
        <w:tabs>
          <w:tab w:val="left" w:pos="1400"/>
        </w:tabs>
        <w:adjustRightInd w:val="0"/>
        <w:snapToGrid w:val="0"/>
        <w:spacing w:line="36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1-21号标的：具有完全民事行为能力的自然人；受让方应完全符合国家及杭州市规定的购房条件。</w:t>
      </w:r>
    </w:p>
    <w:p>
      <w:pPr>
        <w:tabs>
          <w:tab w:val="left" w:pos="1400"/>
        </w:tabs>
        <w:adjustRightInd w:val="0"/>
        <w:snapToGrid w:val="0"/>
        <w:spacing w:line="36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22-37号标的：中华人民共和国境内合法注册且有效存续的法人、非法人组织或具有完全民事行为能力的自然人。 </w:t>
      </w:r>
    </w:p>
    <w:p>
      <w:pPr>
        <w:tabs>
          <w:tab w:val="left" w:pos="1400"/>
        </w:tabs>
        <w:adjustRightInd w:val="0"/>
        <w:snapToGrid w:val="0"/>
        <w:spacing w:line="36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3、成交款的支付：</w:t>
      </w:r>
    </w:p>
    <w:p>
      <w:pPr>
        <w:tabs>
          <w:tab w:val="left" w:pos="1400"/>
        </w:tabs>
        <w:adjustRightInd w:val="0"/>
        <w:snapToGrid w:val="0"/>
        <w:spacing w:line="36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（1）选择一次性付款方式：</w:t>
      </w:r>
    </w:p>
    <w:p>
      <w:pPr>
        <w:tabs>
          <w:tab w:val="left" w:pos="1400"/>
        </w:tabs>
        <w:adjustRightInd w:val="0"/>
        <w:snapToGrid w:val="0"/>
        <w:spacing w:line="36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受让方须在《成交通知书》签署次日起20个工作日内向杭交所资金监管账户付清成交价款、交易服务费等交易资金（受让方已付的交易保证金扣除交易服务费后自动转为履约保证金，履约保证金可抵扣受让方应付的最后一笔成交价款），通过“用户中心—未使用资金”对成交标的完成交易资金的确认付款操作。若受让方需要委托乙方或乙方指定的第三方办理权证过户手续的，乙方或乙方指定的第三方可提供有偿的权证过户服务，同时受让方还应自《成交通知书》签署次日起20个工作日内预付成交价3%款项（非住宅预付款按成交价4%计收）作为办理权证过户手续的税、费（多退少补）。</w:t>
      </w:r>
    </w:p>
    <w:p>
      <w:pPr>
        <w:tabs>
          <w:tab w:val="left" w:pos="1400"/>
        </w:tabs>
        <w:adjustRightInd w:val="0"/>
        <w:snapToGrid w:val="0"/>
        <w:spacing w:line="36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（2）选择银行贷款支付方式：</w:t>
      </w:r>
    </w:p>
    <w:p>
      <w:pPr>
        <w:tabs>
          <w:tab w:val="left" w:pos="1400"/>
        </w:tabs>
        <w:adjustRightInd w:val="0"/>
        <w:snapToGrid w:val="0"/>
        <w:spacing w:line="36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对符合按揭政策的受让方申请用乙方指定的银行（1、住宅类房产指定银行为杭州银行延中大楼支行、交通银行浙江省分行营业部；2、非住宅类房产指定银行为浦发银行新城支行）商业贷款支付成交价款并获得银行核准的，按约定的期限（通过杭州银行延中大楼支行贷款的，须在《成交通知书》签署次日起5个工作日内；通过交通银行浙江省分行营业部、浦发银行新城支行贷款的, 须在《成交通知书》签署次日起3个工作日内）付清首付款和交易服务费及预付成交价3%款项（非住宅预付款按成交价4%计收）作为办理权证过户手续的税、费（多退少补）等交易资金（受让方已付的交易保证金扣除交易服务费后自动转为履约保证金，履约保证金可抵扣受让方应付的首付款），同时向银行提交申请贷款的相关资料（详见银行提供的资料清单）。银行经审核，认为可以提供银行贷款的，通知杭交所和受让方，余款由银行贷款支付，受让方应积极配合。若由于受让方的原因，银行核准后没有放贷的，受让方应自收到银行通知之日起10个工作日内付清余款（已付的首付款可冲抵相应的成交款）。</w:t>
      </w:r>
    </w:p>
    <w:p>
      <w:pPr>
        <w:tabs>
          <w:tab w:val="left" w:pos="1400"/>
        </w:tabs>
        <w:adjustRightInd w:val="0"/>
        <w:snapToGrid w:val="0"/>
        <w:spacing w:line="36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>4</w:t>
      </w:r>
      <w:r>
        <w:rPr>
          <w:rFonts w:hint="eastAsia" w:ascii="宋体"/>
          <w:sz w:val="24"/>
        </w:rPr>
        <w:t>、</w:t>
      </w:r>
      <w:r>
        <w:rPr>
          <w:rFonts w:hint="eastAsia" w:ascii="宋体"/>
          <w:sz w:val="24"/>
          <w:lang w:val="en-US" w:eastAsia="zh-CN"/>
        </w:rPr>
        <w:t>7、8、17、27号标的：</w:t>
      </w:r>
      <w:r>
        <w:rPr>
          <w:rFonts w:hint="eastAsia" w:ascii="宋体"/>
          <w:sz w:val="24"/>
        </w:rPr>
        <w:t>截至信息披露日</w:t>
      </w:r>
      <w:r>
        <w:rPr>
          <w:rFonts w:hint="eastAsia" w:ascii="宋体"/>
          <w:sz w:val="24"/>
          <w:lang w:eastAsia="zh-CN"/>
        </w:rPr>
        <w:t>上述</w:t>
      </w:r>
      <w:r>
        <w:rPr>
          <w:rFonts w:hint="eastAsia" w:ascii="宋体"/>
          <w:sz w:val="24"/>
        </w:rPr>
        <w:t>交易标的的原承租人租赁合同已到期，但交易标的仍被原承租人物品占用，成交后由转让方负责清退原承租人。交易标的的装修部分不以展示现状为准,在移交时不保证装修、装饰物的完好。</w:t>
      </w:r>
    </w:p>
    <w:p>
      <w:pPr>
        <w:tabs>
          <w:tab w:val="left" w:pos="1400"/>
        </w:tabs>
        <w:adjustRightInd w:val="0"/>
        <w:snapToGrid w:val="0"/>
        <w:spacing w:line="360" w:lineRule="exact"/>
        <w:rPr>
          <w:rFonts w:ascii="宋体"/>
          <w:sz w:val="24"/>
        </w:rPr>
      </w:pPr>
    </w:p>
    <w:p>
      <w:pPr>
        <w:tabs>
          <w:tab w:val="left" w:pos="1400"/>
        </w:tabs>
        <w:adjustRightInd w:val="0"/>
        <w:snapToGrid w:val="0"/>
        <w:spacing w:line="360" w:lineRule="exact"/>
        <w:jc w:val="right"/>
        <w:rPr>
          <w:rFonts w:ascii="宋体"/>
          <w:sz w:val="24"/>
        </w:rPr>
      </w:pPr>
      <w:r>
        <w:rPr>
          <w:rFonts w:hint="eastAsia" w:ascii="宋体"/>
          <w:sz w:val="24"/>
        </w:rPr>
        <w:t>杭州市城市建设发展集团有限公司</w:t>
      </w:r>
    </w:p>
    <w:sectPr>
      <w:pgSz w:w="16838" w:h="11906" w:orient="landscape"/>
      <w:pgMar w:top="1123" w:right="1440" w:bottom="1179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78F6C"/>
    <w:multiLevelType w:val="singleLevel"/>
    <w:tmpl w:val="6A378F6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CD"/>
    <w:rsid w:val="00041322"/>
    <w:rsid w:val="00050BB1"/>
    <w:rsid w:val="000614BF"/>
    <w:rsid w:val="000654D4"/>
    <w:rsid w:val="001917E4"/>
    <w:rsid w:val="001B2CCD"/>
    <w:rsid w:val="001F0ADA"/>
    <w:rsid w:val="001F16F2"/>
    <w:rsid w:val="002635D7"/>
    <w:rsid w:val="0026507D"/>
    <w:rsid w:val="00281C94"/>
    <w:rsid w:val="002D60E7"/>
    <w:rsid w:val="00317CF9"/>
    <w:rsid w:val="0032572D"/>
    <w:rsid w:val="00330D60"/>
    <w:rsid w:val="003662D9"/>
    <w:rsid w:val="00424F71"/>
    <w:rsid w:val="004266B9"/>
    <w:rsid w:val="00463E00"/>
    <w:rsid w:val="004B0123"/>
    <w:rsid w:val="004E179E"/>
    <w:rsid w:val="0052445E"/>
    <w:rsid w:val="0059137B"/>
    <w:rsid w:val="005D3029"/>
    <w:rsid w:val="005D7DA7"/>
    <w:rsid w:val="00634707"/>
    <w:rsid w:val="006429F0"/>
    <w:rsid w:val="00660D9D"/>
    <w:rsid w:val="00684492"/>
    <w:rsid w:val="00747655"/>
    <w:rsid w:val="00772690"/>
    <w:rsid w:val="007955A6"/>
    <w:rsid w:val="00796281"/>
    <w:rsid w:val="007D0704"/>
    <w:rsid w:val="008120C9"/>
    <w:rsid w:val="00836A27"/>
    <w:rsid w:val="008438FF"/>
    <w:rsid w:val="00871E87"/>
    <w:rsid w:val="00875B38"/>
    <w:rsid w:val="00886E4E"/>
    <w:rsid w:val="008D2C77"/>
    <w:rsid w:val="0090286F"/>
    <w:rsid w:val="00904FF4"/>
    <w:rsid w:val="00910E1C"/>
    <w:rsid w:val="0097075A"/>
    <w:rsid w:val="00985A4B"/>
    <w:rsid w:val="00987417"/>
    <w:rsid w:val="009C656B"/>
    <w:rsid w:val="009E053C"/>
    <w:rsid w:val="00A34C2C"/>
    <w:rsid w:val="00A70B19"/>
    <w:rsid w:val="00A72AA1"/>
    <w:rsid w:val="00A85EA6"/>
    <w:rsid w:val="00B2575B"/>
    <w:rsid w:val="00B50DAF"/>
    <w:rsid w:val="00B672DF"/>
    <w:rsid w:val="00B705A8"/>
    <w:rsid w:val="00BB2584"/>
    <w:rsid w:val="00BF56BB"/>
    <w:rsid w:val="00C41454"/>
    <w:rsid w:val="00CA4FFC"/>
    <w:rsid w:val="00CD2B78"/>
    <w:rsid w:val="00D07106"/>
    <w:rsid w:val="00D118D3"/>
    <w:rsid w:val="00D20252"/>
    <w:rsid w:val="00DA4081"/>
    <w:rsid w:val="00DC4052"/>
    <w:rsid w:val="00E25CBF"/>
    <w:rsid w:val="00E333D6"/>
    <w:rsid w:val="00E757FF"/>
    <w:rsid w:val="00F04EAA"/>
    <w:rsid w:val="00F21FD0"/>
    <w:rsid w:val="00FE44B2"/>
    <w:rsid w:val="00FF4149"/>
    <w:rsid w:val="01974986"/>
    <w:rsid w:val="03CF42F2"/>
    <w:rsid w:val="04810057"/>
    <w:rsid w:val="04AF40AA"/>
    <w:rsid w:val="091679D4"/>
    <w:rsid w:val="0AF969B1"/>
    <w:rsid w:val="0CF83473"/>
    <w:rsid w:val="0EB21C76"/>
    <w:rsid w:val="0F6622B8"/>
    <w:rsid w:val="0F937C5F"/>
    <w:rsid w:val="15803878"/>
    <w:rsid w:val="16AB409C"/>
    <w:rsid w:val="19721773"/>
    <w:rsid w:val="1D2617F6"/>
    <w:rsid w:val="20EE18B5"/>
    <w:rsid w:val="231E01F0"/>
    <w:rsid w:val="252B075B"/>
    <w:rsid w:val="260B5AC8"/>
    <w:rsid w:val="29035CAD"/>
    <w:rsid w:val="2F5C4C73"/>
    <w:rsid w:val="34D51947"/>
    <w:rsid w:val="3CB9126F"/>
    <w:rsid w:val="3E313FB9"/>
    <w:rsid w:val="3F3B004D"/>
    <w:rsid w:val="4093177A"/>
    <w:rsid w:val="40B93BEE"/>
    <w:rsid w:val="42A14848"/>
    <w:rsid w:val="43F544F8"/>
    <w:rsid w:val="4542253C"/>
    <w:rsid w:val="4F117567"/>
    <w:rsid w:val="51E37BCB"/>
    <w:rsid w:val="59A12A13"/>
    <w:rsid w:val="5B920A4C"/>
    <w:rsid w:val="5EB84266"/>
    <w:rsid w:val="6B8E6869"/>
    <w:rsid w:val="6BAA6775"/>
    <w:rsid w:val="6D81759A"/>
    <w:rsid w:val="71E2195F"/>
    <w:rsid w:val="72776D2D"/>
    <w:rsid w:val="78D87A73"/>
    <w:rsid w:val="795475E1"/>
    <w:rsid w:val="7E56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批注框文本 字符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D3616B-FBAE-4DD9-9560-C7BC48F738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703</Words>
  <Characters>4011</Characters>
  <Lines>33</Lines>
  <Paragraphs>9</Paragraphs>
  <TotalTime>0</TotalTime>
  <ScaleCrop>false</ScaleCrop>
  <LinksUpToDate>false</LinksUpToDate>
  <CharactersWithSpaces>4705</CharactersWithSpaces>
  <Application>WPS Office_11.1.0.9587_F1E327BC-269C-435d-A152-05C5408002CA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2020-03-26T08:17:00Z</dcterms:created>
  <dc:creator>chenliu</dc:creator>
  <cp:lastModifiedBy>chenliu</cp:lastModifiedBy>
  <cp:lastPrinted>2020-03-31T03:06:00Z</cp:lastPrinted>
  <dcterms:modified xsi:type="dcterms:W3CDTF">2020-04-24T06:34:13Z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</Properties>
</file>